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pacing w:line="572" w:lineRule="exact"/>
        <w:textAlignment w:val="auto"/>
      </w:pPr>
      <w:bookmarkStart w:id="0" w:name="_Toc26933"/>
      <w:bookmarkStart w:id="1" w:name="_Toc4292"/>
      <w:r>
        <w:rPr>
          <w:rFonts w:hint="eastAsia" w:ascii="黑体" w:hAnsi="黑体" w:eastAsia="黑体" w:cs="黑体"/>
          <w:b/>
          <w:bCs/>
          <w:sz w:val="32"/>
          <w:szCs w:val="32"/>
        </w:rPr>
        <w:t>附件6</w:t>
      </w:r>
    </w:p>
    <w:p>
      <w:pPr>
        <w:keepNext w:val="0"/>
        <w:keepLines w:val="0"/>
        <w:pageBreakBefore w:val="0"/>
        <w:kinsoku/>
        <w:wordWrap/>
        <w:overflowPunct/>
        <w:topLinePunct w:val="0"/>
        <w:autoSpaceDE/>
        <w:autoSpaceDN/>
        <w:bidi w:val="0"/>
        <w:adjustRightInd/>
        <w:spacing w:line="572" w:lineRule="exact"/>
        <w:jc w:val="center"/>
        <w:textAlignment w:val="auto"/>
        <w:outlineLvl w:val="0"/>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pacing w:line="572"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辽宁省深入推进优质粮食工程</w:t>
      </w:r>
    </w:p>
    <w:p>
      <w:pPr>
        <w:keepNext w:val="0"/>
        <w:keepLines w:val="0"/>
        <w:pageBreakBefore w:val="0"/>
        <w:kinsoku/>
        <w:wordWrap/>
        <w:overflowPunct/>
        <w:topLinePunct w:val="0"/>
        <w:autoSpaceDE/>
        <w:autoSpaceDN/>
        <w:bidi w:val="0"/>
        <w:adjustRightInd/>
        <w:spacing w:line="572"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粮食节约减损健康消费提升行动</w:t>
      </w:r>
      <w:bookmarkEnd w:id="0"/>
      <w:ins w:id="0" w:author="牛天瑞" w:date="2022-08-26T12:44:53Z">
        <w:r>
          <w:rPr>
            <w:rFonts w:hint="eastAsia" w:ascii="方正小标宋简体" w:hAnsi="方正小标宋简体" w:eastAsia="方正小标宋简体" w:cs="方正小标宋简体"/>
            <w:sz w:val="44"/>
            <w:szCs w:val="44"/>
            <w:lang w:eastAsia="zh-CN"/>
          </w:rPr>
          <w:t>实施</w:t>
        </w:r>
      </w:ins>
      <w:r>
        <w:rPr>
          <w:rFonts w:hint="eastAsia" w:ascii="方正小标宋简体" w:hAnsi="方正小标宋简体" w:eastAsia="方正小标宋简体" w:cs="方正小标宋简体"/>
          <w:sz w:val="44"/>
          <w:szCs w:val="44"/>
        </w:rPr>
        <w:t>方案</w:t>
      </w:r>
      <w:bookmarkEnd w:id="1"/>
    </w:p>
    <w:p>
      <w:pPr>
        <w:keepNext w:val="0"/>
        <w:keepLines w:val="0"/>
        <w:pageBreakBefore w:val="0"/>
        <w:kinsoku/>
        <w:wordWrap/>
        <w:overflowPunct/>
        <w:topLinePunct w:val="0"/>
        <w:autoSpaceDE/>
        <w:autoSpaceDN/>
        <w:bidi w:val="0"/>
        <w:adjustRightInd/>
        <w:spacing w:line="572" w:lineRule="exact"/>
        <w:jc w:val="center"/>
        <w:textAlignment w:val="auto"/>
        <w:outlineLvl w:val="0"/>
        <w:rPr>
          <w:rFonts w:hint="eastAsia" w:eastAsia="方正小标宋简体"/>
          <w:lang w:eastAsia="zh-CN"/>
        </w:rPr>
      </w:pPr>
      <w:r>
        <w:rPr>
          <w:rFonts w:hint="eastAsia" w:ascii="方正小标宋简体" w:hAnsi="方正小标宋简体" w:eastAsia="方正小标宋简体" w:cs="方正小标宋简体"/>
          <w:sz w:val="44"/>
          <w:szCs w:val="44"/>
          <w:lang w:eastAsia="zh-CN"/>
        </w:rPr>
        <w:t>（试行）</w:t>
      </w:r>
    </w:p>
    <w:p>
      <w:pPr>
        <w:keepNext w:val="0"/>
        <w:keepLines w:val="0"/>
        <w:pageBreakBefore w:val="0"/>
        <w:widowControl/>
        <w:kinsoku/>
        <w:wordWrap/>
        <w:overflowPunct/>
        <w:topLinePunct w:val="0"/>
        <w:autoSpaceDE/>
        <w:autoSpaceDN/>
        <w:bidi w:val="0"/>
        <w:adjustRightInd/>
        <w:spacing w:line="572" w:lineRule="exact"/>
        <w:ind w:firstLine="720" w:firstLineChars="200"/>
        <w:textAlignment w:val="auto"/>
        <w:rPr>
          <w:rFonts w:ascii="仿宋_GB2312" w:hAnsi="仿宋_GB2312" w:cs="仿宋_GB2312"/>
          <w:kern w:val="0"/>
          <w:sz w:val="36"/>
          <w:szCs w:val="36"/>
          <w:shd w:val="clear" w:color="auto" w:fill="FFFFFF"/>
        </w:rPr>
      </w:pPr>
    </w:p>
    <w:p>
      <w:pPr>
        <w:keepNext w:val="0"/>
        <w:keepLines w:val="0"/>
        <w:pageBreakBefore w:val="0"/>
        <w:kinsoku/>
        <w:wordWrap/>
        <w:overflowPunct/>
        <w:topLinePunct w:val="0"/>
        <w:autoSpaceDE/>
        <w:autoSpaceDN/>
        <w:bidi w:val="0"/>
        <w:adjustRightInd/>
        <w:spacing w:line="572" w:lineRule="exact"/>
        <w:ind w:firstLine="660" w:firstLineChars="200"/>
        <w:textAlignment w:val="auto"/>
        <w:rPr>
          <w:rFonts w:ascii="仿宋_GB2312" w:hAnsi="仿宋_GB2312" w:cs="仿宋_GB2312"/>
          <w:bCs/>
          <w:spacing w:val="5"/>
          <w:szCs w:val="32"/>
        </w:rPr>
      </w:pPr>
      <w:r>
        <w:rPr>
          <w:rFonts w:ascii="仿宋_GB2312" w:hAnsi="仿宋_GB2312" w:cs="仿宋_GB2312"/>
          <w:color w:val="000000"/>
          <w:spacing w:val="5"/>
          <w:szCs w:val="32"/>
        </w:rPr>
        <w:t>为</w:t>
      </w:r>
      <w:r>
        <w:rPr>
          <w:rFonts w:hint="eastAsia" w:ascii="仿宋_GB2312" w:hAnsi="仿宋_GB2312" w:cs="仿宋_GB2312"/>
          <w:spacing w:val="5"/>
          <w:szCs w:val="32"/>
        </w:rPr>
        <w:t>深入贯彻习近平总书记关于深入推进优质粮食工程、做好粮食市场和流通文章的重要指示精神，认真落实中共中央办公厅、国务院办公厅印发的《粮食节约行动方案》等决策部署，根据</w:t>
      </w:r>
      <w:r>
        <w:rPr>
          <w:rFonts w:hint="eastAsia" w:ascii="仿宋_GB2312" w:hAnsi="仿宋_GB2312" w:cs="仿宋_GB2312"/>
          <w:bCs/>
          <w:spacing w:val="5"/>
          <w:szCs w:val="32"/>
        </w:rPr>
        <w:t>《财政部 国家粮食和物资储备局关于深入推进优质粮食工程的意见》（财建〔2021〕177号）、《国家粮食和物资储备局关于印发优质粮食工程“六大提升行动”方案的通知》（国粮规〔2021〕236号）、《辽宁省粮食和物资储备局 辽宁省财政厅关于深入推进优质粮食工程的意见》（辽粮发〔2021〕96号）有关要求，结合本省实际，制定本方案。</w:t>
      </w:r>
    </w:p>
    <w:p>
      <w:pPr>
        <w:pStyle w:val="19"/>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72" w:lineRule="exact"/>
        <w:ind w:firstLine="660" w:firstLineChars="200"/>
        <w:jc w:val="both"/>
        <w:textAlignment w:val="auto"/>
        <w:rPr>
          <w:rFonts w:ascii="楷体_GB2312" w:hAnsi="楷体_GB2312" w:eastAsia="黑体" w:cs="楷体_GB2312"/>
          <w:b/>
          <w:bCs/>
          <w:spacing w:val="5"/>
          <w:sz w:val="32"/>
          <w:szCs w:val="32"/>
          <w:shd w:val="clear" w:color="auto" w:fill="FFFFFF"/>
        </w:rPr>
      </w:pPr>
      <w:r>
        <w:rPr>
          <w:rFonts w:hint="eastAsia" w:ascii="黑体" w:hAnsi="黑体" w:eastAsia="黑体" w:cs="黑体"/>
          <w:bCs/>
          <w:spacing w:val="5"/>
          <w:sz w:val="32"/>
          <w:szCs w:val="32"/>
        </w:rPr>
        <w:t>一、指导思想</w:t>
      </w:r>
    </w:p>
    <w:p>
      <w:pPr>
        <w:keepNext w:val="0"/>
        <w:keepLines w:val="0"/>
        <w:pageBreakBefore w:val="0"/>
        <w:kinsoku/>
        <w:wordWrap/>
        <w:overflowPunct/>
        <w:topLinePunct w:val="0"/>
        <w:autoSpaceDE/>
        <w:autoSpaceDN/>
        <w:bidi w:val="0"/>
        <w:adjustRightInd/>
        <w:spacing w:line="572" w:lineRule="exact"/>
        <w:ind w:firstLine="660" w:firstLineChars="200"/>
        <w:textAlignment w:val="auto"/>
        <w:rPr>
          <w:rFonts w:ascii="仿宋_GB2312" w:hAnsi="仿宋_GB2312" w:cs="仿宋_GB2312"/>
          <w:spacing w:val="5"/>
          <w:kern w:val="0"/>
          <w:szCs w:val="32"/>
          <w:shd w:val="clear" w:color="auto" w:fill="FFFFFF"/>
        </w:rPr>
      </w:pPr>
      <w:r>
        <w:rPr>
          <w:rFonts w:hint="eastAsia" w:ascii="仿宋_GB2312" w:hAnsi="仿宋_GB2312" w:cs="仿宋_GB2312"/>
          <w:spacing w:val="5"/>
          <w:kern w:val="0"/>
          <w:szCs w:val="32"/>
          <w:shd w:val="clear" w:color="auto" w:fill="FFFFFF"/>
        </w:rPr>
        <w:t>以习近平新时代中国特色社会主义思想为指导，立足新发展阶段，贯彻新发展理念，构建新发展格局，推动高质量发展，全面实施国家粮食安全战略、创新驱动发展战略和健康中国战略，强化粮食产后各环节损失控制，推动粮食科学减损和营养健康消费，提升粮食供给品质，为保障国家粮食安全、促进粮食产业高质量发展提供有力支撑。</w:t>
      </w:r>
    </w:p>
    <w:p>
      <w:pPr>
        <w:pStyle w:val="19"/>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72" w:lineRule="exact"/>
        <w:ind w:firstLine="480" w:firstLineChars="200"/>
        <w:jc w:val="both"/>
        <w:textAlignment w:val="auto"/>
      </w:pPr>
      <w:r>
        <w:rPr>
          <w:rFonts w:hint="eastAsia"/>
        </w:rPr>
        <w:t xml:space="preserve">    </w:t>
      </w:r>
      <w:r>
        <w:rPr>
          <w:rFonts w:hint="eastAsia" w:ascii="黑体" w:hAnsi="黑体" w:eastAsia="黑体" w:cs="黑体"/>
          <w:bCs/>
          <w:spacing w:val="5"/>
          <w:sz w:val="32"/>
          <w:szCs w:val="32"/>
        </w:rPr>
        <w:t>二、总体思路</w:t>
      </w:r>
    </w:p>
    <w:p>
      <w:pPr>
        <w:keepNext w:val="0"/>
        <w:keepLines w:val="0"/>
        <w:pageBreakBefore w:val="0"/>
        <w:kinsoku/>
        <w:wordWrap/>
        <w:overflowPunct/>
        <w:topLinePunct w:val="0"/>
        <w:autoSpaceDE/>
        <w:autoSpaceDN/>
        <w:bidi w:val="0"/>
        <w:adjustRightInd/>
        <w:spacing w:line="572" w:lineRule="exact"/>
        <w:ind w:firstLine="818" w:firstLineChars="247"/>
        <w:jc w:val="left"/>
        <w:textAlignment w:val="auto"/>
        <w:rPr>
          <w:rFonts w:ascii="仿宋_GB2312" w:hAnsi="仿宋_GB2312" w:cs="仿宋_GB2312"/>
          <w:spacing w:val="5"/>
          <w:kern w:val="0"/>
          <w:szCs w:val="32"/>
          <w:shd w:val="clear" w:color="auto" w:fill="FFFFFF"/>
        </w:rPr>
      </w:pPr>
      <w:r>
        <w:rPr>
          <w:rFonts w:hint="eastAsia" w:ascii="楷体_GB2312" w:hAnsi="楷体_GB2312" w:eastAsia="楷体_GB2312" w:cs="楷体_GB2312"/>
          <w:b/>
          <w:bCs/>
          <w:spacing w:val="5"/>
          <w:kern w:val="0"/>
          <w:szCs w:val="32"/>
          <w:shd w:val="clear" w:color="auto" w:fill="FFFFFF"/>
        </w:rPr>
        <w:t>(一)突出全链条减损。</w:t>
      </w:r>
      <w:r>
        <w:rPr>
          <w:rFonts w:hint="eastAsia" w:ascii="仿宋_GB2312" w:hAnsi="仿宋_GB2312" w:cs="仿宋_GB2312"/>
          <w:spacing w:val="5"/>
          <w:kern w:val="0"/>
          <w:szCs w:val="32"/>
          <w:shd w:val="clear" w:color="auto" w:fill="FFFFFF"/>
        </w:rPr>
        <w:t>聚焦粮食收购、清理烘干、仓储物流、加工利用、销售和消费等环节，全面推进粮食产后各环节减损。加强指导农户科学储粮。</w:t>
      </w:r>
    </w:p>
    <w:p>
      <w:pPr>
        <w:keepNext w:val="0"/>
        <w:keepLines w:val="0"/>
        <w:pageBreakBefore w:val="0"/>
        <w:kinsoku/>
        <w:wordWrap/>
        <w:overflowPunct/>
        <w:topLinePunct w:val="0"/>
        <w:autoSpaceDE/>
        <w:autoSpaceDN/>
        <w:bidi w:val="0"/>
        <w:adjustRightInd/>
        <w:spacing w:line="572" w:lineRule="exact"/>
        <w:ind w:firstLine="662" w:firstLineChars="200"/>
        <w:textAlignment w:val="auto"/>
        <w:rPr>
          <w:rFonts w:ascii="仿宋_GB2312" w:hAnsi="仿宋_GB2312" w:cs="仿宋_GB2312"/>
          <w:spacing w:val="5"/>
          <w:kern w:val="0"/>
          <w:szCs w:val="32"/>
          <w:shd w:val="clear" w:color="auto" w:fill="FFFFFF"/>
        </w:rPr>
      </w:pPr>
      <w:r>
        <w:rPr>
          <w:rFonts w:hint="eastAsia" w:ascii="楷体_GB2312" w:hAnsi="楷体_GB2312" w:eastAsia="楷体_GB2312" w:cs="楷体_GB2312"/>
          <w:b/>
          <w:bCs/>
          <w:spacing w:val="5"/>
          <w:kern w:val="0"/>
          <w:szCs w:val="32"/>
          <w:shd w:val="clear" w:color="auto" w:fill="FFFFFF"/>
        </w:rPr>
        <w:t>（二）突出多措并举。</w:t>
      </w:r>
      <w:r>
        <w:rPr>
          <w:rFonts w:hint="eastAsia" w:ascii="仿宋_GB2312" w:hAnsi="仿宋_GB2312" w:cs="仿宋_GB2312"/>
          <w:spacing w:val="5"/>
          <w:kern w:val="0"/>
          <w:szCs w:val="32"/>
          <w:shd w:val="clear" w:color="auto" w:fill="FFFFFF"/>
        </w:rPr>
        <w:t>采取科研攻关、成果推广、标准制修订、管理提升、强化宣传等多种措施，系统促进减少粮食损失浪费。</w:t>
      </w:r>
    </w:p>
    <w:p>
      <w:pPr>
        <w:keepNext w:val="0"/>
        <w:keepLines w:val="0"/>
        <w:pageBreakBefore w:val="0"/>
        <w:kinsoku/>
        <w:wordWrap/>
        <w:overflowPunct/>
        <w:topLinePunct w:val="0"/>
        <w:autoSpaceDE/>
        <w:autoSpaceDN/>
        <w:bidi w:val="0"/>
        <w:adjustRightInd/>
        <w:spacing w:line="572" w:lineRule="exact"/>
        <w:ind w:firstLine="662" w:firstLineChars="200"/>
        <w:textAlignment w:val="auto"/>
        <w:rPr>
          <w:rFonts w:ascii="仿宋_GB2312" w:hAnsi="仿宋_GB2312" w:cs="仿宋_GB2312"/>
          <w:spacing w:val="5"/>
          <w:kern w:val="0"/>
          <w:szCs w:val="32"/>
          <w:shd w:val="clear" w:color="auto" w:fill="FFFFFF"/>
        </w:rPr>
      </w:pPr>
      <w:r>
        <w:rPr>
          <w:rFonts w:hint="eastAsia" w:ascii="楷体_GB2312" w:hAnsi="楷体_GB2312" w:eastAsia="楷体_GB2312" w:cs="楷体_GB2312"/>
          <w:b/>
          <w:bCs/>
          <w:spacing w:val="5"/>
          <w:kern w:val="0"/>
          <w:szCs w:val="32"/>
          <w:shd w:val="clear" w:color="auto" w:fill="FFFFFF"/>
        </w:rPr>
        <w:t>（三）突出创新引领。</w:t>
      </w:r>
      <w:r>
        <w:rPr>
          <w:rFonts w:hint="eastAsia" w:ascii="仿宋_GB2312" w:hAnsi="仿宋_GB2312" w:cs="仿宋_GB2312"/>
          <w:spacing w:val="5"/>
          <w:kern w:val="0"/>
          <w:szCs w:val="32"/>
          <w:shd w:val="clear" w:color="auto" w:fill="FFFFFF"/>
        </w:rPr>
        <w:t>加大科技创新力度，加强节粮减损技术和装备研发，促进资源节约和高效利用。</w:t>
      </w:r>
    </w:p>
    <w:p>
      <w:pPr>
        <w:keepNext w:val="0"/>
        <w:keepLines w:val="0"/>
        <w:pageBreakBefore w:val="0"/>
        <w:kinsoku/>
        <w:wordWrap/>
        <w:overflowPunct/>
        <w:topLinePunct w:val="0"/>
        <w:autoSpaceDE/>
        <w:autoSpaceDN/>
        <w:bidi w:val="0"/>
        <w:adjustRightInd/>
        <w:spacing w:line="572" w:lineRule="exact"/>
        <w:ind w:firstLine="662" w:firstLineChars="200"/>
        <w:textAlignment w:val="auto"/>
        <w:rPr>
          <w:rFonts w:ascii="仿宋_GB2312" w:hAnsi="仿宋_GB2312" w:cs="仿宋_GB2312"/>
          <w:spacing w:val="5"/>
          <w:kern w:val="0"/>
          <w:szCs w:val="32"/>
          <w:shd w:val="clear" w:color="auto" w:fill="FFFFFF"/>
        </w:rPr>
      </w:pPr>
      <w:r>
        <w:rPr>
          <w:rFonts w:hint="eastAsia" w:ascii="楷体_GB2312" w:hAnsi="楷体_GB2312" w:eastAsia="楷体_GB2312" w:cs="楷体_GB2312"/>
          <w:b/>
          <w:bCs/>
          <w:spacing w:val="5"/>
          <w:kern w:val="0"/>
          <w:szCs w:val="32"/>
          <w:shd w:val="clear" w:color="auto" w:fill="FFFFFF"/>
        </w:rPr>
        <w:t>（四）突出高质量减损。</w:t>
      </w:r>
      <w:r>
        <w:rPr>
          <w:rFonts w:hint="eastAsia" w:ascii="仿宋_GB2312" w:hAnsi="仿宋_GB2312" w:cs="仿宋_GB2312"/>
          <w:spacing w:val="5"/>
          <w:kern w:val="0"/>
          <w:szCs w:val="32"/>
          <w:shd w:val="clear" w:color="auto" w:fill="FFFFFF"/>
        </w:rPr>
        <w:t>构建节粮减损与提质增效融合促进、节粮减损与营养健康协同发展、节粮减损与产业升级同步推进的良好局面。</w:t>
      </w:r>
    </w:p>
    <w:p>
      <w:pPr>
        <w:pStyle w:val="19"/>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72" w:lineRule="exact"/>
        <w:ind w:firstLine="660" w:firstLineChars="200"/>
        <w:jc w:val="both"/>
        <w:textAlignment w:val="auto"/>
        <w:rPr>
          <w:rFonts w:ascii="仿宋_GB2312" w:hAnsi="仿宋_GB2312" w:eastAsia="仿宋_GB2312" w:cs="仿宋_GB2312"/>
          <w:spacing w:val="5"/>
          <w:sz w:val="32"/>
          <w:szCs w:val="32"/>
        </w:rPr>
      </w:pPr>
      <w:r>
        <w:rPr>
          <w:rFonts w:hint="eastAsia" w:ascii="黑体" w:hAnsi="黑体" w:eastAsia="黑体" w:cs="黑体"/>
          <w:bCs/>
          <w:spacing w:val="5"/>
          <w:sz w:val="32"/>
          <w:szCs w:val="32"/>
        </w:rPr>
        <w:t>三、建设目标</w:t>
      </w:r>
    </w:p>
    <w:p>
      <w:pPr>
        <w:keepNext w:val="0"/>
        <w:keepLines w:val="0"/>
        <w:pageBreakBefore w:val="0"/>
        <w:tabs>
          <w:tab w:val="left" w:pos="2940"/>
        </w:tabs>
        <w:kinsoku/>
        <w:wordWrap/>
        <w:overflowPunct/>
        <w:topLinePunct w:val="0"/>
        <w:autoSpaceDE/>
        <w:autoSpaceDN/>
        <w:bidi w:val="0"/>
        <w:adjustRightInd/>
        <w:spacing w:line="572" w:lineRule="exact"/>
        <w:ind w:firstLine="660" w:firstLineChars="200"/>
        <w:textAlignment w:val="auto"/>
        <w:rPr>
          <w:rFonts w:ascii="仿宋_GB2312" w:hAnsi="仿宋_GB2312" w:cs="仿宋_GB2312"/>
          <w:spacing w:val="5"/>
          <w:szCs w:val="32"/>
        </w:rPr>
      </w:pPr>
      <w:r>
        <w:rPr>
          <w:rFonts w:hint="eastAsia" w:ascii="仿宋_GB2312" w:hAnsi="仿宋_GB2312" w:cs="仿宋_GB2312"/>
          <w:spacing w:val="5"/>
          <w:szCs w:val="32"/>
        </w:rPr>
        <w:t>“十四五”期间，积极推进粮食产后减损技术应用，促进产后各环节减损降耗，进一步制定完善节粮减损相关政策和标准体系，强化科技创新，深入开展爱粮节粮、科学减损宣传教育，使节粮减损和健康消费成效更加显著。</w:t>
      </w:r>
    </w:p>
    <w:p>
      <w:pPr>
        <w:keepNext w:val="0"/>
        <w:keepLines w:val="0"/>
        <w:pageBreakBefore w:val="0"/>
        <w:kinsoku/>
        <w:wordWrap/>
        <w:overflowPunct/>
        <w:topLinePunct w:val="0"/>
        <w:autoSpaceDE/>
        <w:autoSpaceDN/>
        <w:bidi w:val="0"/>
        <w:adjustRightInd/>
        <w:spacing w:line="572" w:lineRule="exact"/>
        <w:ind w:firstLine="660" w:firstLineChars="200"/>
        <w:textAlignment w:val="auto"/>
        <w:rPr>
          <w:rFonts w:ascii="黑体" w:hAnsi="黑体" w:eastAsia="黑体"/>
          <w:bCs/>
          <w:spacing w:val="5"/>
          <w:szCs w:val="32"/>
        </w:rPr>
      </w:pPr>
      <w:r>
        <w:rPr>
          <w:rFonts w:hint="eastAsia" w:ascii="黑体" w:hAnsi="黑体" w:eastAsia="黑体"/>
          <w:bCs/>
          <w:spacing w:val="5"/>
          <w:szCs w:val="32"/>
        </w:rPr>
        <w:t>四、实施主体</w:t>
      </w:r>
    </w:p>
    <w:p>
      <w:pPr>
        <w:keepNext w:val="0"/>
        <w:keepLines w:val="0"/>
        <w:pageBreakBefore w:val="0"/>
        <w:kinsoku/>
        <w:wordWrap/>
        <w:overflowPunct/>
        <w:topLinePunct w:val="0"/>
        <w:autoSpaceDE/>
        <w:autoSpaceDN/>
        <w:bidi w:val="0"/>
        <w:adjustRightInd/>
        <w:spacing w:line="572" w:lineRule="exact"/>
        <w:ind w:firstLine="662" w:firstLineChars="200"/>
        <w:textAlignment w:val="auto"/>
        <w:rPr>
          <w:rFonts w:ascii="仿宋_GB2312" w:hAnsi="仿宋_GB2312" w:cs="仿宋_GB2312"/>
          <w:bCs/>
          <w:spacing w:val="5"/>
          <w:szCs w:val="32"/>
        </w:rPr>
      </w:pPr>
      <w:r>
        <w:rPr>
          <w:rFonts w:hint="eastAsia" w:ascii="楷体" w:hAnsi="楷体" w:eastAsia="楷体" w:cs="楷体"/>
          <w:b/>
          <w:bCs w:val="0"/>
          <w:spacing w:val="5"/>
          <w:szCs w:val="32"/>
          <w:lang w:eastAsia="zh-CN"/>
        </w:rPr>
        <w:t>（一）</w:t>
      </w:r>
      <w:r>
        <w:rPr>
          <w:rFonts w:hint="eastAsia" w:ascii="仿宋_GB2312" w:hAnsi="仿宋_GB2312" w:cs="仿宋_GB2312"/>
          <w:bCs/>
          <w:spacing w:val="5"/>
          <w:szCs w:val="32"/>
        </w:rPr>
        <w:t>各级粮食和储备行业主管部门，开展粮食和物资储备相关业务的事业单位、科研机构、社会团体、有关高校、粮食安全宣传教育基地等。</w:t>
      </w:r>
    </w:p>
    <w:p>
      <w:pPr>
        <w:keepNext w:val="0"/>
        <w:keepLines w:val="0"/>
        <w:pageBreakBefore w:val="0"/>
        <w:kinsoku/>
        <w:wordWrap/>
        <w:overflowPunct/>
        <w:topLinePunct w:val="0"/>
        <w:autoSpaceDE/>
        <w:autoSpaceDN/>
        <w:bidi w:val="0"/>
        <w:adjustRightInd/>
        <w:spacing w:line="572" w:lineRule="exact"/>
        <w:ind w:firstLine="662" w:firstLineChars="200"/>
        <w:textAlignment w:val="auto"/>
        <w:rPr>
          <w:rFonts w:ascii="仿宋_GB2312" w:hAnsi="仿宋_GB2312" w:cs="仿宋_GB2312"/>
          <w:bCs/>
          <w:spacing w:val="5"/>
          <w:szCs w:val="32"/>
        </w:rPr>
      </w:pPr>
      <w:r>
        <w:rPr>
          <w:rFonts w:hint="eastAsia" w:ascii="楷体" w:hAnsi="楷体" w:eastAsia="楷体" w:cs="楷体"/>
          <w:b/>
          <w:bCs w:val="0"/>
          <w:spacing w:val="5"/>
          <w:szCs w:val="32"/>
          <w:lang w:eastAsia="zh-CN"/>
        </w:rPr>
        <w:t>（二）</w:t>
      </w:r>
      <w:r>
        <w:rPr>
          <w:rFonts w:hint="eastAsia" w:ascii="仿宋_GB2312" w:hAnsi="仿宋_GB2312" w:cs="仿宋_GB2312"/>
          <w:bCs/>
          <w:spacing w:val="5"/>
          <w:szCs w:val="32"/>
        </w:rPr>
        <w:t>省内粮食产后服务中心及承担粮食产后服务职能的市场主体。</w:t>
      </w:r>
    </w:p>
    <w:p>
      <w:pPr>
        <w:keepNext w:val="0"/>
        <w:keepLines w:val="0"/>
        <w:pageBreakBefore w:val="0"/>
        <w:kinsoku/>
        <w:wordWrap/>
        <w:overflowPunct/>
        <w:topLinePunct w:val="0"/>
        <w:autoSpaceDE/>
        <w:autoSpaceDN/>
        <w:bidi w:val="0"/>
        <w:adjustRightInd/>
        <w:spacing w:line="572" w:lineRule="exact"/>
        <w:ind w:firstLine="662" w:firstLineChars="200"/>
        <w:textAlignment w:val="auto"/>
        <w:rPr>
          <w:rFonts w:ascii="仿宋_GB2312" w:hAnsi="仿宋_GB2312" w:cs="仿宋_GB2312"/>
          <w:bCs/>
          <w:spacing w:val="5"/>
          <w:szCs w:val="32"/>
        </w:rPr>
      </w:pPr>
      <w:r>
        <w:rPr>
          <w:rFonts w:hint="eastAsia" w:ascii="楷体" w:hAnsi="楷体" w:eastAsia="楷体" w:cs="楷体"/>
          <w:b/>
          <w:bCs w:val="0"/>
          <w:spacing w:val="5"/>
          <w:szCs w:val="32"/>
          <w:lang w:eastAsia="zh-CN"/>
        </w:rPr>
        <w:t>（三）</w:t>
      </w:r>
      <w:r>
        <w:rPr>
          <w:rFonts w:hint="eastAsia" w:ascii="仿宋_GB2312" w:hAnsi="仿宋_GB2312" w:cs="仿宋_GB2312"/>
          <w:spacing w:val="5"/>
          <w:szCs w:val="32"/>
        </w:rPr>
        <w:t>省内各类粮食企业，重点支持地方政策性储备粮承储企业、粮食应急保障企业、“中国好粮油”及“辽宁好粮油”示范企业及其他承担粮油储备社会责任的企业。</w:t>
      </w:r>
    </w:p>
    <w:p>
      <w:pPr>
        <w:keepNext w:val="0"/>
        <w:keepLines w:val="0"/>
        <w:pageBreakBefore w:val="0"/>
        <w:kinsoku/>
        <w:wordWrap/>
        <w:overflowPunct/>
        <w:topLinePunct w:val="0"/>
        <w:autoSpaceDE/>
        <w:autoSpaceDN/>
        <w:bidi w:val="0"/>
        <w:adjustRightInd/>
        <w:spacing w:line="572" w:lineRule="exact"/>
        <w:ind w:firstLine="660" w:firstLineChars="200"/>
        <w:textAlignment w:val="auto"/>
        <w:rPr>
          <w:rFonts w:ascii="仿宋_GB2312" w:hAnsi="仿宋_GB2312" w:cs="仿宋_GB2312"/>
          <w:spacing w:val="5"/>
          <w:szCs w:val="32"/>
        </w:rPr>
      </w:pPr>
      <w:r>
        <w:rPr>
          <w:rFonts w:hint="eastAsia" w:ascii="仿宋_GB2312" w:hAnsi="仿宋_GB2312" w:cs="仿宋_GB2312"/>
          <w:spacing w:val="5"/>
          <w:szCs w:val="32"/>
        </w:rPr>
        <w:t>实施主体应财务状况良好，能够足额落实资金；近2年没有不良信用记录，无违法违规行为，无产品质量安全事件及生产安全事故。</w:t>
      </w:r>
    </w:p>
    <w:p>
      <w:pPr>
        <w:keepNext w:val="0"/>
        <w:keepLines w:val="0"/>
        <w:pageBreakBefore w:val="0"/>
        <w:kinsoku/>
        <w:wordWrap/>
        <w:overflowPunct/>
        <w:topLinePunct w:val="0"/>
        <w:autoSpaceDE/>
        <w:autoSpaceDN/>
        <w:bidi w:val="0"/>
        <w:adjustRightInd/>
        <w:spacing w:line="572" w:lineRule="exact"/>
        <w:ind w:firstLine="660" w:firstLineChars="200"/>
        <w:textAlignment w:val="auto"/>
        <w:rPr>
          <w:rFonts w:ascii="黑体" w:hAnsi="黑体" w:eastAsia="黑体"/>
          <w:bCs/>
          <w:spacing w:val="5"/>
          <w:szCs w:val="32"/>
        </w:rPr>
      </w:pPr>
      <w:r>
        <w:rPr>
          <w:rFonts w:hint="eastAsia" w:ascii="黑体" w:hAnsi="黑体" w:eastAsia="黑体"/>
          <w:bCs/>
          <w:spacing w:val="5"/>
          <w:szCs w:val="32"/>
        </w:rPr>
        <w:t>五、主要</w:t>
      </w:r>
      <w:r>
        <w:rPr>
          <w:rFonts w:ascii="黑体" w:hAnsi="黑体" w:eastAsia="黑体"/>
          <w:bCs/>
          <w:spacing w:val="5"/>
          <w:szCs w:val="32"/>
        </w:rPr>
        <w:t>任务</w:t>
      </w:r>
    </w:p>
    <w:p>
      <w:pPr>
        <w:keepNext w:val="0"/>
        <w:keepLines w:val="0"/>
        <w:pageBreakBefore w:val="0"/>
        <w:shd w:val="clear" w:color="auto" w:fill="FFFFFF"/>
        <w:kinsoku/>
        <w:wordWrap/>
        <w:overflowPunct/>
        <w:topLinePunct w:val="0"/>
        <w:autoSpaceDE/>
        <w:autoSpaceDN/>
        <w:bidi w:val="0"/>
        <w:adjustRightInd/>
        <w:spacing w:line="572" w:lineRule="exact"/>
        <w:ind w:firstLine="662" w:firstLineChars="200"/>
        <w:textAlignment w:val="auto"/>
        <w:rPr>
          <w:rStyle w:val="25"/>
          <w:rFonts w:ascii="仿宋_GB2312" w:hAnsi="仿宋_GB2312" w:cs="仿宋_GB2312"/>
          <w:b w:val="0"/>
          <w:spacing w:val="5"/>
          <w:kern w:val="0"/>
          <w:szCs w:val="32"/>
          <w:shd w:val="clear" w:color="auto" w:fill="FFFFFF"/>
        </w:rPr>
      </w:pPr>
      <w:r>
        <w:rPr>
          <w:rStyle w:val="25"/>
          <w:rFonts w:hint="eastAsia" w:ascii="楷体_GB2312" w:hAnsi="楷体_GB2312" w:eastAsia="楷体_GB2312" w:cs="楷体_GB2312"/>
          <w:spacing w:val="5"/>
          <w:kern w:val="0"/>
          <w:szCs w:val="32"/>
          <w:shd w:val="clear" w:color="auto" w:fill="FFFFFF"/>
        </w:rPr>
        <w:t>（一）强化粮食收获后减损。</w:t>
      </w:r>
      <w:r>
        <w:rPr>
          <w:rStyle w:val="25"/>
          <w:rFonts w:hint="eastAsia" w:ascii="仿宋_GB2312" w:hAnsi="仿宋_GB2312" w:cs="仿宋_GB2312"/>
          <w:b w:val="0"/>
          <w:spacing w:val="5"/>
          <w:kern w:val="0"/>
          <w:szCs w:val="32"/>
          <w:shd w:val="clear" w:color="auto" w:fill="FFFFFF"/>
        </w:rPr>
        <w:t>充分发挥粮食产后服务体系</w:t>
      </w:r>
      <w:r>
        <w:rPr>
          <w:rStyle w:val="25"/>
          <w:rFonts w:ascii="仿宋_GB2312" w:hAnsi="仿宋_GB2312" w:cs="仿宋_GB2312"/>
          <w:b w:val="0"/>
          <w:spacing w:val="5"/>
          <w:kern w:val="0"/>
          <w:szCs w:val="32"/>
          <w:shd w:val="clear" w:color="auto" w:fill="FFFFFF"/>
        </w:rPr>
        <w:t>作用</w:t>
      </w:r>
      <w:r>
        <w:rPr>
          <w:rStyle w:val="25"/>
          <w:rFonts w:hint="eastAsia" w:ascii="仿宋_GB2312" w:hAnsi="仿宋_GB2312" w:cs="仿宋_GB2312"/>
          <w:b w:val="0"/>
          <w:spacing w:val="5"/>
          <w:kern w:val="0"/>
          <w:szCs w:val="32"/>
          <w:shd w:val="clear" w:color="auto" w:fill="FFFFFF"/>
        </w:rPr>
        <w:t>，</w:t>
      </w:r>
      <w:r>
        <w:rPr>
          <w:rStyle w:val="25"/>
          <w:rFonts w:ascii="仿宋_GB2312" w:hAnsi="仿宋_GB2312" w:cs="仿宋_GB2312"/>
          <w:b w:val="0"/>
          <w:spacing w:val="5"/>
          <w:kern w:val="0"/>
          <w:szCs w:val="32"/>
          <w:shd w:val="clear" w:color="auto" w:fill="FFFFFF"/>
        </w:rPr>
        <w:t>引导粮食产后服务中心及时</w:t>
      </w:r>
      <w:r>
        <w:rPr>
          <w:rStyle w:val="25"/>
          <w:rFonts w:hint="eastAsia" w:ascii="仿宋_GB2312" w:hAnsi="仿宋_GB2312" w:cs="仿宋_GB2312"/>
          <w:b w:val="0"/>
          <w:spacing w:val="5"/>
          <w:kern w:val="0"/>
          <w:szCs w:val="32"/>
          <w:shd w:val="clear" w:color="auto" w:fill="FFFFFF"/>
        </w:rPr>
        <w:t>为农民提供</w:t>
      </w:r>
      <w:r>
        <w:rPr>
          <w:rStyle w:val="25"/>
          <w:rFonts w:ascii="仿宋_GB2312" w:hAnsi="仿宋_GB2312" w:cs="仿宋_GB2312"/>
          <w:b w:val="0"/>
          <w:spacing w:val="5"/>
          <w:kern w:val="0"/>
          <w:szCs w:val="32"/>
          <w:shd w:val="clear" w:color="auto" w:fill="FFFFFF"/>
        </w:rPr>
        <w:t>收储、</w:t>
      </w:r>
      <w:r>
        <w:rPr>
          <w:rStyle w:val="25"/>
          <w:rFonts w:hint="eastAsia" w:ascii="仿宋_GB2312" w:hAnsi="仿宋_GB2312" w:cs="仿宋_GB2312"/>
          <w:b w:val="0"/>
          <w:spacing w:val="5"/>
          <w:kern w:val="0"/>
          <w:szCs w:val="32"/>
          <w:shd w:val="clear" w:color="auto" w:fill="FFFFFF"/>
        </w:rPr>
        <w:t>清理、烘干、加工、销售等服务，降低收获</w:t>
      </w:r>
      <w:r>
        <w:rPr>
          <w:rStyle w:val="25"/>
          <w:rFonts w:ascii="仿宋_GB2312" w:hAnsi="仿宋_GB2312" w:cs="仿宋_GB2312"/>
          <w:b w:val="0"/>
          <w:spacing w:val="5"/>
          <w:kern w:val="0"/>
          <w:szCs w:val="32"/>
          <w:shd w:val="clear" w:color="auto" w:fill="FFFFFF"/>
        </w:rPr>
        <w:t>后</w:t>
      </w:r>
      <w:r>
        <w:rPr>
          <w:rStyle w:val="25"/>
          <w:rFonts w:hint="eastAsia" w:ascii="仿宋_GB2312" w:hAnsi="仿宋_GB2312" w:cs="仿宋_GB2312"/>
          <w:b w:val="0"/>
          <w:spacing w:val="5"/>
          <w:kern w:val="0"/>
          <w:szCs w:val="32"/>
          <w:shd w:val="clear" w:color="auto" w:fill="FFFFFF"/>
        </w:rPr>
        <w:t>损失。鼓励粮食产后服务中心使用新型绿色烘干热源</w:t>
      </w:r>
      <w:r>
        <w:rPr>
          <w:rStyle w:val="25"/>
          <w:rFonts w:ascii="仿宋_GB2312" w:hAnsi="仿宋_GB2312" w:cs="仿宋_GB2312"/>
          <w:b w:val="0"/>
          <w:spacing w:val="5"/>
          <w:kern w:val="0"/>
          <w:szCs w:val="32"/>
          <w:shd w:val="clear" w:color="auto" w:fill="FFFFFF"/>
        </w:rPr>
        <w:t>技术，</w:t>
      </w:r>
      <w:r>
        <w:rPr>
          <w:rStyle w:val="25"/>
          <w:rFonts w:hint="eastAsia" w:ascii="仿宋_GB2312" w:hAnsi="仿宋_GB2312" w:cs="仿宋_GB2312"/>
          <w:b w:val="0"/>
          <w:spacing w:val="5"/>
          <w:kern w:val="0"/>
          <w:szCs w:val="32"/>
          <w:shd w:val="clear" w:color="auto" w:fill="FFFFFF"/>
        </w:rPr>
        <w:t>提高粮食烘干能力。探索建设粮食清理中心，促进粮食清理</w:t>
      </w:r>
      <w:r>
        <w:rPr>
          <w:rStyle w:val="25"/>
          <w:rFonts w:ascii="仿宋_GB2312" w:hAnsi="仿宋_GB2312" w:cs="仿宋_GB2312"/>
          <w:b w:val="0"/>
          <w:spacing w:val="5"/>
          <w:kern w:val="0"/>
          <w:szCs w:val="32"/>
          <w:shd w:val="clear" w:color="auto" w:fill="FFFFFF"/>
        </w:rPr>
        <w:t>环保</w:t>
      </w:r>
      <w:r>
        <w:rPr>
          <w:rStyle w:val="25"/>
          <w:rFonts w:hint="eastAsia" w:ascii="仿宋_GB2312" w:hAnsi="仿宋_GB2312" w:cs="仿宋_GB2312"/>
          <w:b w:val="0"/>
          <w:spacing w:val="5"/>
          <w:kern w:val="0"/>
          <w:szCs w:val="32"/>
          <w:shd w:val="clear" w:color="auto" w:fill="FFFFFF"/>
        </w:rPr>
        <w:t>设备</w:t>
      </w:r>
      <w:r>
        <w:rPr>
          <w:rStyle w:val="25"/>
          <w:rFonts w:ascii="仿宋_GB2312" w:hAnsi="仿宋_GB2312" w:cs="仿宋_GB2312"/>
          <w:b w:val="0"/>
          <w:spacing w:val="5"/>
          <w:kern w:val="0"/>
          <w:szCs w:val="32"/>
          <w:shd w:val="clear" w:color="auto" w:fill="FFFFFF"/>
        </w:rPr>
        <w:t>推广应用</w:t>
      </w:r>
      <w:r>
        <w:rPr>
          <w:rStyle w:val="25"/>
          <w:rFonts w:hint="eastAsia" w:ascii="仿宋_GB2312" w:hAnsi="仿宋_GB2312" w:cs="仿宋_GB2312"/>
          <w:b w:val="0"/>
          <w:spacing w:val="5"/>
          <w:kern w:val="0"/>
          <w:szCs w:val="32"/>
          <w:shd w:val="clear" w:color="auto" w:fill="FFFFFF"/>
        </w:rPr>
        <w:t>。</w:t>
      </w:r>
      <w:r>
        <w:rPr>
          <w:rStyle w:val="25"/>
          <w:rFonts w:ascii="仿宋_GB2312" w:hAnsi="仿宋_GB2312" w:cs="仿宋_GB2312"/>
          <w:b w:val="0"/>
          <w:spacing w:val="5"/>
          <w:kern w:val="0"/>
          <w:szCs w:val="32"/>
          <w:shd w:val="clear" w:color="auto" w:fill="FFFFFF"/>
        </w:rPr>
        <w:t>加强农户粮食整理晾晒指</w:t>
      </w:r>
      <w:r>
        <w:rPr>
          <w:rStyle w:val="25"/>
          <w:rFonts w:hint="eastAsia" w:ascii="仿宋_GB2312" w:hAnsi="仿宋_GB2312" w:cs="仿宋_GB2312"/>
          <w:b w:val="0"/>
          <w:spacing w:val="5"/>
          <w:kern w:val="0"/>
          <w:szCs w:val="32"/>
          <w:shd w:val="clear" w:color="auto" w:fill="FFFFFF"/>
        </w:rPr>
        <w:t>导，通过提供信息服务、科技特派员等方式，指导农</w:t>
      </w:r>
      <w:r>
        <w:rPr>
          <w:rStyle w:val="25"/>
          <w:rFonts w:ascii="仿宋_GB2312" w:hAnsi="仿宋_GB2312" w:cs="仿宋_GB2312"/>
          <w:b w:val="0"/>
          <w:spacing w:val="5"/>
          <w:kern w:val="0"/>
          <w:szCs w:val="32"/>
          <w:shd w:val="clear" w:color="auto" w:fill="FFFFFF"/>
        </w:rPr>
        <w:t>户</w:t>
      </w:r>
      <w:r>
        <w:rPr>
          <w:rStyle w:val="25"/>
          <w:rFonts w:hint="eastAsia" w:ascii="仿宋_GB2312" w:hAnsi="仿宋_GB2312" w:cs="仿宋_GB2312"/>
          <w:b w:val="0"/>
          <w:spacing w:val="5"/>
          <w:kern w:val="0"/>
          <w:szCs w:val="32"/>
          <w:shd w:val="clear" w:color="auto" w:fill="FFFFFF"/>
        </w:rPr>
        <w:t>做好庭院保粮。</w:t>
      </w:r>
    </w:p>
    <w:p>
      <w:pPr>
        <w:keepNext w:val="0"/>
        <w:keepLines w:val="0"/>
        <w:pageBreakBefore w:val="0"/>
        <w:shd w:val="clear" w:color="auto" w:fill="FFFFFF"/>
        <w:kinsoku/>
        <w:wordWrap/>
        <w:overflowPunct/>
        <w:topLinePunct w:val="0"/>
        <w:autoSpaceDE/>
        <w:autoSpaceDN/>
        <w:bidi w:val="0"/>
        <w:adjustRightInd/>
        <w:spacing w:line="572" w:lineRule="exact"/>
        <w:ind w:firstLine="662" w:firstLineChars="200"/>
        <w:textAlignment w:val="auto"/>
        <w:rPr>
          <w:rFonts w:ascii="仿宋_GB2312" w:hAnsi="仿宋_GB2312" w:cs="仿宋_GB2312"/>
          <w:spacing w:val="5"/>
          <w:kern w:val="0"/>
          <w:szCs w:val="32"/>
          <w:shd w:val="clear" w:color="auto" w:fill="FFFFFF"/>
        </w:rPr>
      </w:pPr>
      <w:r>
        <w:rPr>
          <w:rStyle w:val="25"/>
          <w:rFonts w:hint="eastAsia" w:ascii="楷体_GB2312" w:hAnsi="楷体_GB2312" w:eastAsia="楷体_GB2312" w:cs="楷体_GB2312"/>
          <w:spacing w:val="5"/>
          <w:kern w:val="0"/>
          <w:szCs w:val="32"/>
          <w:shd w:val="clear" w:color="auto" w:fill="FFFFFF"/>
        </w:rPr>
        <w:t>（二）强化粮食储藏减损。</w:t>
      </w:r>
      <w:r>
        <w:rPr>
          <w:rFonts w:hint="eastAsia" w:ascii="仿宋_GB2312" w:hAnsi="仿宋_GB2312" w:cs="仿宋_GB2312"/>
          <w:spacing w:val="5"/>
          <w:kern w:val="0"/>
          <w:szCs w:val="32"/>
          <w:shd w:val="clear" w:color="auto" w:fill="FFFFFF"/>
        </w:rPr>
        <w:t>推广节粮减损提质增效新技术、现代粮仓</w:t>
      </w:r>
      <w:r>
        <w:rPr>
          <w:rFonts w:ascii="仿宋_GB2312" w:hAnsi="仿宋_GB2312" w:cs="仿宋_GB2312"/>
          <w:spacing w:val="5"/>
          <w:kern w:val="0"/>
          <w:szCs w:val="32"/>
          <w:shd w:val="clear" w:color="auto" w:fill="FFFFFF"/>
        </w:rPr>
        <w:t>构建</w:t>
      </w:r>
      <w:r>
        <w:rPr>
          <w:rFonts w:hint="eastAsia" w:ascii="仿宋_GB2312" w:hAnsi="仿宋_GB2312" w:cs="仿宋_GB2312"/>
          <w:spacing w:val="5"/>
          <w:kern w:val="0"/>
          <w:szCs w:val="32"/>
          <w:shd w:val="clear" w:color="auto" w:fill="FFFFFF"/>
        </w:rPr>
        <w:t>技术和现代物流配套技术，推进横向通风等储粮“四合一”升级新技术广泛应用，助力老旧仓房升级改造。鼓励科研机构与仓储企业合作，推广低成本、高效率储粮减损技术应用，推进绿色储粮。推广使用储粮新仓型，促进粮食仓储信息化</w:t>
      </w:r>
      <w:r>
        <w:rPr>
          <w:rFonts w:ascii="仿宋_GB2312" w:hAnsi="仿宋_GB2312" w:cs="仿宋_GB2312"/>
          <w:spacing w:val="5"/>
          <w:kern w:val="0"/>
          <w:szCs w:val="32"/>
          <w:shd w:val="clear" w:color="auto" w:fill="FFFFFF"/>
        </w:rPr>
        <w:t>。</w:t>
      </w:r>
      <w:r>
        <w:rPr>
          <w:rStyle w:val="25"/>
          <w:rFonts w:hint="eastAsia" w:ascii="仿宋_GB2312" w:hAnsi="仿宋_GB2312" w:cs="仿宋_GB2312"/>
          <w:b w:val="0"/>
          <w:spacing w:val="5"/>
          <w:kern w:val="0"/>
          <w:szCs w:val="32"/>
          <w:shd w:val="clear" w:color="auto" w:fill="FFFFFF"/>
        </w:rPr>
        <w:t>依托省内科研机构，建立科学储粮示范区，为农户提供科学储粮技术培训和服务，</w:t>
      </w:r>
      <w:r>
        <w:rPr>
          <w:rFonts w:hint="eastAsia" w:ascii="仿宋_GB2312" w:hAnsi="仿宋_GB2312" w:cs="仿宋_GB2312"/>
          <w:spacing w:val="5"/>
          <w:kern w:val="0"/>
          <w:szCs w:val="32"/>
          <w:shd w:val="clear" w:color="auto" w:fill="FFFFFF"/>
        </w:rPr>
        <w:t>推广经济适用的储粮新装具，有效</w:t>
      </w:r>
      <w:r>
        <w:rPr>
          <w:rFonts w:ascii="仿宋_GB2312" w:hAnsi="仿宋_GB2312" w:cs="仿宋_GB2312"/>
          <w:spacing w:val="5"/>
          <w:kern w:val="0"/>
          <w:szCs w:val="32"/>
          <w:shd w:val="clear" w:color="auto" w:fill="FFFFFF"/>
        </w:rPr>
        <w:t>减少</w:t>
      </w:r>
      <w:r>
        <w:rPr>
          <w:rFonts w:hint="eastAsia" w:ascii="仿宋_GB2312" w:hAnsi="仿宋_GB2312" w:cs="仿宋_GB2312"/>
          <w:spacing w:val="5"/>
          <w:kern w:val="0"/>
          <w:szCs w:val="32"/>
          <w:shd w:val="clear" w:color="auto" w:fill="FFFFFF"/>
        </w:rPr>
        <w:t>“地趴粮”和粮食霉变。</w:t>
      </w:r>
    </w:p>
    <w:p>
      <w:pPr>
        <w:keepNext w:val="0"/>
        <w:keepLines w:val="0"/>
        <w:pageBreakBefore w:val="0"/>
        <w:shd w:val="clear" w:color="auto" w:fill="FFFFFF"/>
        <w:kinsoku/>
        <w:wordWrap/>
        <w:overflowPunct/>
        <w:topLinePunct w:val="0"/>
        <w:autoSpaceDE/>
        <w:autoSpaceDN/>
        <w:bidi w:val="0"/>
        <w:adjustRightInd/>
        <w:spacing w:line="572" w:lineRule="exact"/>
        <w:ind w:firstLine="662" w:firstLineChars="200"/>
        <w:textAlignment w:val="auto"/>
        <w:rPr>
          <w:rFonts w:ascii="仿宋_GB2312" w:hAnsi="仿宋_GB2312" w:cs="仿宋_GB2312"/>
          <w:spacing w:val="5"/>
          <w:kern w:val="0"/>
          <w:szCs w:val="32"/>
          <w:shd w:val="clear" w:color="auto" w:fill="FFFFFF"/>
        </w:rPr>
      </w:pPr>
      <w:r>
        <w:rPr>
          <w:rStyle w:val="25"/>
          <w:rFonts w:hint="eastAsia" w:ascii="楷体_GB2312" w:hAnsi="楷体_GB2312" w:eastAsia="楷体_GB2312" w:cs="楷体_GB2312"/>
          <w:spacing w:val="5"/>
          <w:kern w:val="0"/>
          <w:szCs w:val="32"/>
          <w:shd w:val="clear" w:color="auto" w:fill="FFFFFF"/>
        </w:rPr>
        <w:t>（三）强化粮油加工减损。</w:t>
      </w:r>
      <w:r>
        <w:rPr>
          <w:rFonts w:hint="eastAsia" w:ascii="仿宋_GB2312" w:hAnsi="仿宋_GB2312" w:cs="仿宋_GB2312"/>
          <w:spacing w:val="5"/>
          <w:kern w:val="0"/>
          <w:szCs w:val="32"/>
          <w:shd w:val="clear" w:color="auto" w:fill="FFFFFF"/>
        </w:rPr>
        <w:t>推广稻谷、小麦、玉米、大豆等粮油适度加工和粮油副产物综合利用成果，用市场化手段推进新设备在粮油加工企业应用。改进制油工艺，提高杂粕质量。提高粮油加工行业数字化管理水平，促进减损增效。开发全谷物原料质量稳定控制、食用品质改良、活性保持等技术，推进全谷物粮油加工技术开发和应用。开发杂粮食品生产品质控制技术。制修订粮油加工标准，确定合理加工精度，引导适度加工。</w:t>
      </w:r>
    </w:p>
    <w:p>
      <w:pPr>
        <w:keepNext w:val="0"/>
        <w:keepLines w:val="0"/>
        <w:pageBreakBefore w:val="0"/>
        <w:shd w:val="clear" w:color="auto" w:fill="FFFFFF"/>
        <w:kinsoku/>
        <w:wordWrap/>
        <w:overflowPunct/>
        <w:topLinePunct w:val="0"/>
        <w:autoSpaceDE/>
        <w:autoSpaceDN/>
        <w:bidi w:val="0"/>
        <w:adjustRightInd/>
        <w:spacing w:line="572" w:lineRule="exact"/>
        <w:ind w:firstLine="662" w:firstLineChars="200"/>
        <w:textAlignment w:val="auto"/>
        <w:rPr>
          <w:rFonts w:ascii="仿宋_GB2312" w:hAnsi="仿宋_GB2312" w:cs="仿宋_GB2312"/>
          <w:spacing w:val="5"/>
          <w:kern w:val="0"/>
          <w:szCs w:val="32"/>
          <w:shd w:val="clear" w:color="auto" w:fill="FFFFFF"/>
        </w:rPr>
      </w:pPr>
      <w:r>
        <w:rPr>
          <w:rStyle w:val="25"/>
          <w:rFonts w:hint="eastAsia" w:ascii="楷体_GB2312" w:hAnsi="楷体_GB2312" w:eastAsia="楷体_GB2312" w:cs="楷体_GB2312"/>
          <w:spacing w:val="5"/>
          <w:kern w:val="0"/>
          <w:szCs w:val="32"/>
          <w:shd w:val="clear" w:color="auto" w:fill="FFFFFF"/>
        </w:rPr>
        <w:t>（四）强化粮食物流减损。</w:t>
      </w:r>
      <w:r>
        <w:rPr>
          <w:rStyle w:val="25"/>
          <w:rFonts w:hint="eastAsia" w:ascii="仿宋" w:hAnsi="仿宋" w:eastAsia="仿宋" w:cs="仿宋"/>
          <w:b w:val="0"/>
          <w:bCs/>
          <w:spacing w:val="5"/>
          <w:kern w:val="0"/>
          <w:szCs w:val="32"/>
          <w:shd w:val="clear" w:color="auto" w:fill="FFFFFF"/>
        </w:rPr>
        <w:t>支持省内科研机构</w:t>
      </w:r>
      <w:r>
        <w:rPr>
          <w:rFonts w:hint="eastAsia" w:ascii="仿宋_GB2312" w:hAnsi="仿宋_GB2312" w:cs="仿宋_GB2312"/>
          <w:spacing w:val="5"/>
          <w:kern w:val="0"/>
          <w:szCs w:val="32"/>
          <w:shd w:val="clear" w:color="auto" w:fill="FFFFFF"/>
        </w:rPr>
        <w:t>加强原粮转运、装卸设备开发和应用。开发粮食接卸、粮食防分级防破碎入仓装置和设备。鼓励研究机构与企业合作，建立典型示范基地，推广新型运输装备及配套装卸设备，推动粮食减损物流装备升级，降低粮食流通转运破碎率，探索短途粮食物流减损技术，推进粮食物流标准化。</w:t>
      </w:r>
    </w:p>
    <w:p>
      <w:pPr>
        <w:keepNext w:val="0"/>
        <w:keepLines w:val="0"/>
        <w:pageBreakBefore w:val="0"/>
        <w:shd w:val="clear" w:color="auto" w:fill="FFFFFF"/>
        <w:kinsoku/>
        <w:wordWrap/>
        <w:overflowPunct/>
        <w:topLinePunct w:val="0"/>
        <w:autoSpaceDE/>
        <w:autoSpaceDN/>
        <w:bidi w:val="0"/>
        <w:adjustRightInd/>
        <w:spacing w:line="572" w:lineRule="exact"/>
        <w:ind w:firstLine="662" w:firstLineChars="200"/>
        <w:textAlignment w:val="auto"/>
        <w:rPr>
          <w:rFonts w:ascii="仿宋_GB2312" w:hAnsi="仿宋_GB2312" w:cs="仿宋_GB2312"/>
          <w:spacing w:val="5"/>
          <w:szCs w:val="32"/>
        </w:rPr>
      </w:pPr>
      <w:r>
        <w:rPr>
          <w:rFonts w:hint="eastAsia" w:ascii="楷体_GB2312" w:hAnsi="楷体_GB2312" w:eastAsia="楷体_GB2312" w:cs="楷体_GB2312"/>
          <w:b/>
          <w:bCs/>
          <w:spacing w:val="5"/>
          <w:kern w:val="0"/>
          <w:szCs w:val="32"/>
          <w:shd w:val="clear" w:color="auto" w:fill="FFFFFF"/>
        </w:rPr>
        <w:t>（五）强化消费环节减损。</w:t>
      </w:r>
      <w:r>
        <w:rPr>
          <w:rFonts w:hint="eastAsia" w:ascii="仿宋_GB2312" w:hAnsi="仿宋_GB2312" w:cs="仿宋_GB2312"/>
          <w:spacing w:val="5"/>
          <w:szCs w:val="32"/>
        </w:rPr>
        <w:t>大力倡导科学消费、文明消费，树立节俭风尚，严禁铺张浪费。粮食和物资储备部门要当好表率，以良好的作风引领社会风尚，并积极配合有关部门落实餐饮环节减少食物浪费的要求。</w:t>
      </w:r>
    </w:p>
    <w:p>
      <w:pPr>
        <w:keepNext w:val="0"/>
        <w:keepLines w:val="0"/>
        <w:pageBreakBefore w:val="0"/>
        <w:shd w:val="clear" w:color="auto" w:fill="FFFFFF"/>
        <w:kinsoku/>
        <w:wordWrap/>
        <w:overflowPunct/>
        <w:topLinePunct w:val="0"/>
        <w:autoSpaceDE/>
        <w:autoSpaceDN/>
        <w:bidi w:val="0"/>
        <w:adjustRightInd/>
        <w:spacing w:line="572" w:lineRule="exact"/>
        <w:ind w:firstLine="662" w:firstLineChars="200"/>
        <w:textAlignment w:val="auto"/>
        <w:rPr>
          <w:rFonts w:ascii="仿宋_GB2312" w:hAnsi="仿宋_GB2312" w:cs="仿宋_GB2312"/>
          <w:spacing w:val="5"/>
          <w:kern w:val="0"/>
          <w:szCs w:val="32"/>
          <w:shd w:val="clear" w:color="auto" w:fill="FFFFFF"/>
        </w:rPr>
      </w:pPr>
      <w:r>
        <w:rPr>
          <w:rStyle w:val="25"/>
          <w:rFonts w:hint="eastAsia" w:ascii="楷体_GB2312" w:hAnsi="楷体_GB2312" w:eastAsia="楷体_GB2312" w:cs="楷体_GB2312"/>
          <w:spacing w:val="5"/>
          <w:kern w:val="0"/>
          <w:szCs w:val="32"/>
          <w:shd w:val="clear" w:color="auto" w:fill="FFFFFF"/>
        </w:rPr>
        <w:t>（六）强化粮食减损法规体系和标准体系</w:t>
      </w:r>
      <w:r>
        <w:rPr>
          <w:rStyle w:val="25"/>
          <w:rFonts w:ascii="楷体_GB2312" w:hAnsi="楷体_GB2312" w:eastAsia="楷体_GB2312" w:cs="楷体_GB2312"/>
          <w:spacing w:val="5"/>
          <w:kern w:val="0"/>
          <w:szCs w:val="32"/>
          <w:shd w:val="clear" w:color="auto" w:fill="FFFFFF"/>
        </w:rPr>
        <w:t>构建</w:t>
      </w:r>
      <w:r>
        <w:rPr>
          <w:rStyle w:val="25"/>
          <w:rFonts w:hint="eastAsia" w:ascii="楷体_GB2312" w:hAnsi="楷体_GB2312" w:eastAsia="楷体_GB2312" w:cs="楷体_GB2312"/>
          <w:spacing w:val="5"/>
          <w:kern w:val="0"/>
          <w:szCs w:val="32"/>
          <w:shd w:val="clear" w:color="auto" w:fill="FFFFFF"/>
        </w:rPr>
        <w:t>。</w:t>
      </w:r>
      <w:r>
        <w:rPr>
          <w:rFonts w:hint="eastAsia" w:ascii="仿宋_GB2312" w:hAnsi="仿宋_GB2312" w:cs="仿宋_GB2312"/>
          <w:spacing w:val="5"/>
          <w:kern w:val="0"/>
          <w:szCs w:val="32"/>
          <w:shd w:val="clear" w:color="auto" w:fill="FFFFFF"/>
        </w:rPr>
        <w:t>加强《中华人民共和国反食品浪费法》《粮食流通管理条例》《辽宁省地方储备粮管理条例》等法律法规的宣贯。完善地方配套政策体系，强化依法管粮，促进节粮减损。坚持制度管粮和技术管粮相结合，严格执行《粮油仓储管理办法》和《粮油储藏技术规范》以及《粮油储存安全责任暂行规定》《粮油安全储存守则》《粮库安全生产守则》等制度标准，深入落实储粮质量安全责任制和各项管理措施，确保储存粮食数量、质量和卫生安全。依托省内行业组织和科研机构，探索符合我省实际的地方标准、团体标准或企业标准。研究粮食产后损失监测机制，了解粮食产后有关损失情况。</w:t>
      </w:r>
    </w:p>
    <w:p>
      <w:pPr>
        <w:keepNext w:val="0"/>
        <w:keepLines w:val="0"/>
        <w:pageBreakBefore w:val="0"/>
        <w:shd w:val="clear" w:color="auto" w:fill="FFFFFF"/>
        <w:kinsoku/>
        <w:wordWrap/>
        <w:overflowPunct/>
        <w:topLinePunct w:val="0"/>
        <w:autoSpaceDE/>
        <w:autoSpaceDN/>
        <w:bidi w:val="0"/>
        <w:adjustRightInd/>
        <w:spacing w:line="572" w:lineRule="exact"/>
        <w:ind w:firstLine="662" w:firstLineChars="200"/>
        <w:textAlignment w:val="auto"/>
        <w:rPr>
          <w:rFonts w:ascii="仿宋_GB2312" w:hAnsi="仿宋_GB2312" w:cs="仿宋_GB2312"/>
          <w:spacing w:val="5"/>
          <w:szCs w:val="32"/>
          <w:shd w:val="clear" w:color="auto" w:fill="FFFFFF"/>
        </w:rPr>
      </w:pPr>
      <w:r>
        <w:rPr>
          <w:rStyle w:val="25"/>
          <w:rFonts w:hint="eastAsia" w:ascii="楷体_GB2312" w:hAnsi="楷体_GB2312" w:eastAsia="楷体_GB2312" w:cs="楷体_GB2312"/>
          <w:spacing w:val="5"/>
          <w:kern w:val="0"/>
          <w:szCs w:val="32"/>
          <w:shd w:val="clear" w:color="auto" w:fill="FFFFFF"/>
        </w:rPr>
        <w:t>（七）强化宣传营造爱粮节粮良好氛围。</w:t>
      </w:r>
      <w:r>
        <w:rPr>
          <w:rFonts w:hint="eastAsia" w:ascii="仿宋_GB2312" w:hAnsi="仿宋_GB2312" w:cs="仿宋_GB2312"/>
          <w:spacing w:val="5"/>
          <w:szCs w:val="32"/>
          <w:shd w:val="clear" w:color="auto" w:fill="FFFFFF"/>
        </w:rPr>
        <w:t>组织开展世界粮食日和全国粮食安全宣传周、全国粮食和物资储备科技活动周、粮食质量安全宣传日等主题活动。加强粮食安全宣传教育基地建设，鼓励创新宣传形式，积极开展爱粮节粮宣传教育，加强节粮减损技术和粮油营养健康知识宣传和普及，宣传科学消费知识。</w:t>
      </w:r>
    </w:p>
    <w:p>
      <w:pPr>
        <w:pStyle w:val="2"/>
        <w:keepNext w:val="0"/>
        <w:keepLines w:val="0"/>
        <w:pageBreakBefore w:val="0"/>
        <w:kinsoku/>
        <w:wordWrap/>
        <w:overflowPunct/>
        <w:topLinePunct w:val="0"/>
        <w:autoSpaceDE/>
        <w:autoSpaceDN/>
        <w:bidi w:val="0"/>
        <w:adjustRightInd/>
        <w:spacing w:line="572" w:lineRule="exact"/>
        <w:ind w:firstLine="660" w:firstLineChars="200"/>
        <w:textAlignment w:val="auto"/>
        <w:rPr>
          <w:rFonts w:ascii="黑体" w:hAnsi="黑体" w:eastAsia="黑体"/>
          <w:bCs/>
          <w:spacing w:val="5"/>
          <w:sz w:val="32"/>
          <w:szCs w:val="32"/>
        </w:rPr>
      </w:pPr>
      <w:r>
        <w:rPr>
          <w:rFonts w:hint="eastAsia" w:ascii="黑体" w:hAnsi="黑体" w:eastAsia="黑体"/>
          <w:bCs/>
          <w:spacing w:val="5"/>
          <w:sz w:val="32"/>
          <w:szCs w:val="32"/>
        </w:rPr>
        <w:t>六、职责分工</w:t>
      </w:r>
    </w:p>
    <w:p>
      <w:pPr>
        <w:keepNext w:val="0"/>
        <w:keepLines w:val="0"/>
        <w:pageBreakBefore w:val="0"/>
        <w:kinsoku/>
        <w:wordWrap/>
        <w:overflowPunct/>
        <w:topLinePunct w:val="0"/>
        <w:autoSpaceDE/>
        <w:autoSpaceDN/>
        <w:bidi w:val="0"/>
        <w:adjustRightInd/>
        <w:snapToGrid w:val="0"/>
        <w:spacing w:line="572" w:lineRule="exact"/>
        <w:ind w:firstLine="642" w:firstLineChars="200"/>
        <w:textAlignment w:val="auto"/>
        <w:rPr>
          <w:rFonts w:ascii="仿宋_GB2312" w:hAnsi="仿宋" w:cs="仿宋"/>
          <w:szCs w:val="32"/>
        </w:rPr>
      </w:pPr>
      <w:r>
        <w:rPr>
          <w:rFonts w:hint="eastAsia" w:ascii="楷体_GB2312" w:hAnsi="仿宋" w:eastAsia="楷体_GB2312" w:cs="仿宋"/>
          <w:b/>
          <w:szCs w:val="32"/>
        </w:rPr>
        <w:t>（一）省粮食和物资储备部门。</w:t>
      </w:r>
      <w:r>
        <w:rPr>
          <w:rFonts w:hint="eastAsia" w:ascii="仿宋_GB2312" w:hAnsi="黑体" w:cs="仿宋"/>
          <w:szCs w:val="32"/>
        </w:rPr>
        <w:t>编制全省实施方案，指导各市开展项目实施、绩效评价等工作。</w:t>
      </w:r>
    </w:p>
    <w:p>
      <w:pPr>
        <w:keepNext w:val="0"/>
        <w:keepLines w:val="0"/>
        <w:pageBreakBefore w:val="0"/>
        <w:kinsoku/>
        <w:wordWrap/>
        <w:overflowPunct/>
        <w:topLinePunct w:val="0"/>
        <w:autoSpaceDE/>
        <w:autoSpaceDN/>
        <w:bidi w:val="0"/>
        <w:adjustRightInd/>
        <w:snapToGrid w:val="0"/>
        <w:spacing w:line="572" w:lineRule="exact"/>
        <w:ind w:firstLine="738" w:firstLineChars="230"/>
        <w:textAlignment w:val="auto"/>
        <w:rPr>
          <w:rFonts w:ascii="仿宋_GB2312" w:hAnsi="黑体" w:cs="仿宋"/>
          <w:szCs w:val="32"/>
        </w:rPr>
      </w:pPr>
      <w:r>
        <w:rPr>
          <w:rFonts w:hint="eastAsia" w:ascii="楷体_GB2312" w:hAnsi="仿宋" w:eastAsia="楷体_GB2312" w:cs="仿宋"/>
          <w:b/>
          <w:szCs w:val="32"/>
        </w:rPr>
        <w:t>（二）市、县（市、区）粮食和物资储备部门。</w:t>
      </w:r>
      <w:r>
        <w:rPr>
          <w:rFonts w:hint="eastAsia" w:ascii="仿宋_GB2312" w:hAnsi="黑体" w:cs="仿宋"/>
          <w:szCs w:val="32"/>
        </w:rPr>
        <w:t>编制全市、县（市、区）实施方案，对方案的准确性、真实性、可实施性负责。加强申报项目审核把关，做好项目评审和公示等工作，加强项目的实施指导、监督检查、绩效考评、项目验收等工作。</w:t>
      </w:r>
    </w:p>
    <w:p>
      <w:pPr>
        <w:keepNext w:val="0"/>
        <w:keepLines w:val="0"/>
        <w:pageBreakBefore w:val="0"/>
        <w:kinsoku/>
        <w:wordWrap/>
        <w:overflowPunct/>
        <w:topLinePunct w:val="0"/>
        <w:autoSpaceDE/>
        <w:autoSpaceDN/>
        <w:bidi w:val="0"/>
        <w:adjustRightInd/>
        <w:snapToGrid w:val="0"/>
        <w:spacing w:line="572" w:lineRule="exact"/>
        <w:ind w:firstLine="738" w:firstLineChars="230"/>
        <w:textAlignment w:val="auto"/>
        <w:rPr>
          <w:rFonts w:ascii="仿宋_GB2312" w:hAnsi="仿宋" w:cs="仿宋"/>
          <w:b/>
          <w:szCs w:val="32"/>
        </w:rPr>
      </w:pPr>
      <w:r>
        <w:rPr>
          <w:rFonts w:hint="eastAsia" w:ascii="楷体_GB2312" w:hAnsi="仿宋" w:eastAsia="楷体_GB2312" w:cs="仿宋"/>
          <w:b/>
          <w:szCs w:val="32"/>
        </w:rPr>
        <w:t>（三）项目单位。</w:t>
      </w:r>
      <w:r>
        <w:rPr>
          <w:rFonts w:hint="eastAsia" w:ascii="仿宋_GB2312" w:hAnsi="黑体" w:cs="仿宋"/>
          <w:szCs w:val="32"/>
        </w:rPr>
        <w:t>编制实施方案，对方案的准确性、真实性、可实施性负责，开展项目实施，落实自筹，加强财务管理，做好档案的整理工作。中央直属粮食企业和省属粮食企业在各市独立核算的企业纳入所在市、县（市、区）统一实施。</w:t>
      </w:r>
    </w:p>
    <w:p>
      <w:pPr>
        <w:keepNext w:val="0"/>
        <w:keepLines w:val="0"/>
        <w:pageBreakBefore w:val="0"/>
        <w:kinsoku/>
        <w:wordWrap/>
        <w:overflowPunct/>
        <w:topLinePunct w:val="0"/>
        <w:autoSpaceDE/>
        <w:autoSpaceDN/>
        <w:bidi w:val="0"/>
        <w:adjustRightInd/>
        <w:spacing w:line="572" w:lineRule="exact"/>
        <w:ind w:firstLine="660" w:firstLineChars="200"/>
        <w:textAlignment w:val="auto"/>
        <w:rPr>
          <w:rFonts w:ascii="黑体" w:hAnsi="黑体" w:eastAsia="黑体"/>
          <w:b w:val="0"/>
          <w:bCs/>
          <w:spacing w:val="5"/>
          <w:szCs w:val="32"/>
          <w:rPrChange w:id="1" w:author="牛天瑞" w:date="2022-08-26T12:45:01Z">
            <w:rPr>
              <w:rFonts w:ascii="黑体" w:hAnsi="黑体" w:eastAsia="黑体"/>
              <w:b/>
              <w:spacing w:val="5"/>
              <w:szCs w:val="32"/>
            </w:rPr>
          </w:rPrChange>
        </w:rPr>
      </w:pPr>
      <w:r>
        <w:rPr>
          <w:rFonts w:hint="eastAsia" w:ascii="黑体" w:hAnsi="黑体" w:eastAsia="黑体"/>
          <w:b w:val="0"/>
          <w:bCs/>
          <w:spacing w:val="5"/>
          <w:szCs w:val="32"/>
          <w:rPrChange w:id="2" w:author="牛天瑞" w:date="2022-08-26T12:45:01Z">
            <w:rPr>
              <w:rFonts w:hint="eastAsia" w:ascii="黑体" w:hAnsi="黑体" w:eastAsia="黑体"/>
              <w:b/>
              <w:spacing w:val="5"/>
              <w:szCs w:val="32"/>
            </w:rPr>
          </w:rPrChange>
        </w:rPr>
        <w:t>七、申报程序</w:t>
      </w:r>
    </w:p>
    <w:p>
      <w:pPr>
        <w:keepNext w:val="0"/>
        <w:keepLines w:val="0"/>
        <w:pageBreakBefore w:val="0"/>
        <w:kinsoku/>
        <w:wordWrap/>
        <w:overflowPunct/>
        <w:topLinePunct w:val="0"/>
        <w:autoSpaceDE/>
        <w:autoSpaceDN/>
        <w:bidi w:val="0"/>
        <w:adjustRightInd/>
        <w:snapToGrid w:val="0"/>
        <w:spacing w:line="572" w:lineRule="exact"/>
        <w:ind w:firstLine="642" w:firstLineChars="200"/>
        <w:textAlignment w:val="auto"/>
        <w:rPr>
          <w:rFonts w:ascii="楷体" w:hAnsi="楷体" w:eastAsia="楷体" w:cs="楷体"/>
          <w:b/>
          <w:bCs/>
          <w:szCs w:val="32"/>
        </w:rPr>
      </w:pPr>
      <w:r>
        <w:rPr>
          <w:rFonts w:hint="eastAsia" w:ascii="楷体" w:hAnsi="楷体" w:eastAsia="楷体" w:cs="楷体"/>
          <w:b/>
          <w:bCs/>
          <w:szCs w:val="32"/>
        </w:rPr>
        <w:t>（一）实施周期</w:t>
      </w:r>
    </w:p>
    <w:p>
      <w:pPr>
        <w:pStyle w:val="2"/>
        <w:keepNext w:val="0"/>
        <w:keepLines w:val="0"/>
        <w:pageBreakBefore w:val="0"/>
        <w:kinsoku/>
        <w:wordWrap/>
        <w:overflowPunct/>
        <w:topLinePunct w:val="0"/>
        <w:autoSpaceDE/>
        <w:autoSpaceDN/>
        <w:bidi w:val="0"/>
        <w:adjustRightInd/>
        <w:spacing w:line="57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方案实施周期为2022-2024年度。2021年度已开工建设，符合本方案实施内容和主体标准且实际完成投资比例未超过70%并有招投标手续，依法获得审批（核准、备案）和相关前期手续，未获得其他形式补助资金的企业可纳入实施主体一并实施。</w:t>
      </w:r>
    </w:p>
    <w:p>
      <w:pPr>
        <w:keepNext w:val="0"/>
        <w:keepLines w:val="0"/>
        <w:pageBreakBefore w:val="0"/>
        <w:kinsoku/>
        <w:wordWrap/>
        <w:overflowPunct/>
        <w:topLinePunct w:val="0"/>
        <w:autoSpaceDE/>
        <w:autoSpaceDN/>
        <w:bidi w:val="0"/>
        <w:adjustRightInd/>
        <w:snapToGrid w:val="0"/>
        <w:spacing w:line="572" w:lineRule="exact"/>
        <w:ind w:firstLine="642" w:firstLineChars="200"/>
        <w:textAlignment w:val="auto"/>
        <w:rPr>
          <w:rFonts w:ascii="楷体" w:hAnsi="楷体" w:eastAsia="楷体" w:cs="楷体"/>
          <w:b/>
          <w:bCs/>
          <w:szCs w:val="32"/>
        </w:rPr>
      </w:pPr>
      <w:r>
        <w:rPr>
          <w:rFonts w:hint="eastAsia" w:ascii="楷体" w:hAnsi="楷体" w:eastAsia="楷体" w:cs="楷体"/>
          <w:b/>
          <w:bCs/>
          <w:szCs w:val="32"/>
        </w:rPr>
        <w:t>（二）方案编制</w:t>
      </w:r>
    </w:p>
    <w:p>
      <w:pPr>
        <w:keepNext w:val="0"/>
        <w:keepLines w:val="0"/>
        <w:pageBreakBefore w:val="0"/>
        <w:kinsoku/>
        <w:wordWrap/>
        <w:overflowPunct/>
        <w:topLinePunct w:val="0"/>
        <w:autoSpaceDE/>
        <w:autoSpaceDN/>
        <w:bidi w:val="0"/>
        <w:adjustRightInd/>
        <w:snapToGrid w:val="0"/>
        <w:spacing w:line="572" w:lineRule="exact"/>
        <w:ind w:firstLine="640" w:firstLineChars="200"/>
        <w:textAlignment w:val="auto"/>
        <w:rPr>
          <w:rFonts w:ascii="仿宋_GB2312" w:hAnsi="仿宋" w:cs="仿宋"/>
          <w:szCs w:val="32"/>
        </w:rPr>
      </w:pPr>
      <w:r>
        <w:rPr>
          <w:rFonts w:hint="eastAsia" w:ascii="仿宋_GB2312" w:hAnsi="黑体" w:cs="仿宋"/>
          <w:szCs w:val="32"/>
        </w:rPr>
        <w:t>方案要明确提出产业规划、建设目标、建设内容、绩效目标、项目验收、资金管理、建设时间、保障措施等内容。企业申报材料应包括但不仅限于：目录、项目申报书、企业营业执照、法人身份证件复印件、建设项目环评报告、节能评估报告、土地使用证、项目规划、项目概算、财务审计报告、自有资金保证书、真实性承诺书等材料。</w:t>
      </w:r>
    </w:p>
    <w:p>
      <w:pPr>
        <w:keepNext w:val="0"/>
        <w:keepLines w:val="0"/>
        <w:pageBreakBefore w:val="0"/>
        <w:kinsoku/>
        <w:wordWrap/>
        <w:overflowPunct/>
        <w:topLinePunct w:val="0"/>
        <w:autoSpaceDE/>
        <w:autoSpaceDN/>
        <w:bidi w:val="0"/>
        <w:adjustRightInd/>
        <w:snapToGrid w:val="0"/>
        <w:spacing w:line="572" w:lineRule="exact"/>
        <w:ind w:firstLine="642" w:firstLineChars="200"/>
        <w:textAlignment w:val="auto"/>
        <w:rPr>
          <w:rFonts w:ascii="楷体" w:hAnsi="楷体" w:eastAsia="楷体" w:cs="楷体"/>
          <w:b/>
          <w:bCs/>
          <w:szCs w:val="32"/>
        </w:rPr>
      </w:pPr>
      <w:r>
        <w:rPr>
          <w:rFonts w:hint="eastAsia" w:ascii="楷体" w:hAnsi="楷体" w:eastAsia="楷体" w:cs="楷体"/>
          <w:b/>
          <w:bCs/>
          <w:szCs w:val="32"/>
        </w:rPr>
        <w:t>（三）项目申报</w:t>
      </w:r>
    </w:p>
    <w:p>
      <w:pPr>
        <w:pStyle w:val="2"/>
        <w:keepNext w:val="0"/>
        <w:keepLines w:val="0"/>
        <w:pageBreakBefore w:val="0"/>
        <w:kinsoku/>
        <w:wordWrap/>
        <w:overflowPunct/>
        <w:topLinePunct w:val="0"/>
        <w:autoSpaceDE/>
        <w:autoSpaceDN/>
        <w:bidi w:val="0"/>
        <w:adjustRightInd/>
        <w:spacing w:line="572" w:lineRule="exact"/>
        <w:textAlignment w:val="auto"/>
        <w:rPr>
          <w:rFonts w:ascii="仿宋_GB2312" w:hAnsi="黑体" w:eastAsia="仿宋_GB2312" w:cs="仿宋"/>
          <w:sz w:val="32"/>
          <w:szCs w:val="32"/>
        </w:rPr>
      </w:pPr>
      <w:r>
        <w:rPr>
          <w:rFonts w:hint="eastAsia" w:ascii="仿宋_GB2312" w:hAnsi="黑体" w:eastAsia="仿宋_GB2312" w:cs="仿宋"/>
          <w:sz w:val="32"/>
          <w:szCs w:val="32"/>
        </w:rPr>
        <w:t xml:space="preserve">    拟申请项目单位按照属地原则向市、县（市、区）粮食和物资储备部门（发展改革部门）申报项目，并由市向省粮食和物资储备部门备案。</w:t>
      </w:r>
    </w:p>
    <w:p>
      <w:pPr>
        <w:keepNext w:val="0"/>
        <w:keepLines w:val="0"/>
        <w:pageBreakBefore w:val="0"/>
        <w:kinsoku/>
        <w:wordWrap/>
        <w:overflowPunct/>
        <w:topLinePunct w:val="0"/>
        <w:autoSpaceDE/>
        <w:autoSpaceDN/>
        <w:bidi w:val="0"/>
        <w:adjustRightInd/>
        <w:spacing w:line="572" w:lineRule="exact"/>
        <w:ind w:firstLine="660" w:firstLineChars="200"/>
        <w:textAlignment w:val="auto"/>
        <w:rPr>
          <w:rFonts w:ascii="黑体" w:hAnsi="黑体" w:eastAsia="黑体"/>
          <w:b w:val="0"/>
          <w:bCs/>
          <w:spacing w:val="5"/>
          <w:szCs w:val="32"/>
          <w:rPrChange w:id="3" w:author="牛天瑞" w:date="2022-08-26T12:45:03Z">
            <w:rPr>
              <w:rFonts w:ascii="黑体" w:hAnsi="黑体" w:eastAsia="黑体"/>
              <w:b/>
              <w:spacing w:val="5"/>
              <w:szCs w:val="32"/>
            </w:rPr>
          </w:rPrChange>
        </w:rPr>
      </w:pPr>
      <w:bookmarkStart w:id="2" w:name="_GoBack"/>
      <w:r>
        <w:rPr>
          <w:rFonts w:hint="eastAsia" w:ascii="黑体" w:hAnsi="黑体" w:eastAsia="黑体"/>
          <w:b w:val="0"/>
          <w:bCs/>
          <w:spacing w:val="5"/>
          <w:szCs w:val="32"/>
          <w:rPrChange w:id="4" w:author="牛天瑞" w:date="2022-08-26T12:45:03Z">
            <w:rPr>
              <w:rFonts w:hint="eastAsia" w:ascii="黑体" w:hAnsi="黑体" w:eastAsia="黑体"/>
              <w:b/>
              <w:spacing w:val="5"/>
              <w:szCs w:val="32"/>
            </w:rPr>
          </w:rPrChange>
        </w:rPr>
        <w:t>八、相关要求</w:t>
      </w:r>
    </w:p>
    <w:bookmarkEnd w:id="2"/>
    <w:p>
      <w:pPr>
        <w:keepNext w:val="0"/>
        <w:keepLines w:val="0"/>
        <w:pageBreakBefore w:val="0"/>
        <w:kinsoku/>
        <w:wordWrap/>
        <w:overflowPunct/>
        <w:topLinePunct w:val="0"/>
        <w:autoSpaceDE/>
        <w:autoSpaceDN/>
        <w:bidi w:val="0"/>
        <w:adjustRightInd/>
        <w:snapToGrid w:val="0"/>
        <w:spacing w:line="572" w:lineRule="exact"/>
        <w:ind w:firstLine="662" w:firstLineChars="200"/>
        <w:textAlignment w:val="auto"/>
        <w:rPr>
          <w:rFonts w:ascii="仿宋_GB2312" w:hAnsi="仿宋" w:cs="仿宋"/>
          <w:bCs/>
          <w:szCs w:val="32"/>
        </w:rPr>
      </w:pPr>
      <w:r>
        <w:rPr>
          <w:rFonts w:hint="eastAsia" w:ascii="楷体_GB2312" w:hAnsi="楷体_GB2312" w:eastAsia="楷体_GB2312" w:cs="楷体_GB2312"/>
          <w:b/>
          <w:spacing w:val="5"/>
          <w:szCs w:val="32"/>
        </w:rPr>
        <w:t>（一）加强组织领导。</w:t>
      </w:r>
      <w:r>
        <w:rPr>
          <w:rFonts w:hint="eastAsia" w:ascii="仿宋_GB2312" w:hAnsi="仿宋_GB2312" w:cs="仿宋_GB2312"/>
          <w:bCs/>
          <w:spacing w:val="5"/>
          <w:szCs w:val="32"/>
        </w:rPr>
        <w:t>各市</w:t>
      </w:r>
      <w:r>
        <w:rPr>
          <w:rFonts w:hint="eastAsia" w:ascii="仿宋_GB2312" w:hAnsi="仿宋" w:cs="仿宋"/>
          <w:szCs w:val="32"/>
        </w:rPr>
        <w:t>要成立专项工作领导小组，明确工作职责，做好方案编制，统一组织实施。建立定期调度通报机制，严格执行廉政规定，强化对项目实施过程中关键风险点的监控，加强项目管理，健全项目档案，严禁擅自调整实施方案、变更资金用途和建设内容。</w:t>
      </w:r>
    </w:p>
    <w:p>
      <w:pPr>
        <w:keepNext w:val="0"/>
        <w:keepLines w:val="0"/>
        <w:pageBreakBefore w:val="0"/>
        <w:kinsoku/>
        <w:wordWrap/>
        <w:overflowPunct/>
        <w:topLinePunct w:val="0"/>
        <w:autoSpaceDE/>
        <w:autoSpaceDN/>
        <w:bidi w:val="0"/>
        <w:adjustRightInd/>
        <w:spacing w:line="572" w:lineRule="exact"/>
        <w:ind w:firstLine="642" w:firstLineChars="200"/>
        <w:textAlignment w:val="auto"/>
        <w:rPr>
          <w:rFonts w:ascii="仿宋_GB2312" w:hAnsi="仿宋" w:cs="仿宋"/>
          <w:bCs/>
          <w:szCs w:val="32"/>
        </w:rPr>
      </w:pPr>
      <w:r>
        <w:rPr>
          <w:rFonts w:hint="eastAsia" w:ascii="楷体" w:hAnsi="楷体" w:eastAsia="楷体" w:cs="仿宋"/>
          <w:b/>
          <w:bCs/>
          <w:szCs w:val="32"/>
        </w:rPr>
        <w:t>（二）科学谋划布局。</w:t>
      </w:r>
      <w:r>
        <w:rPr>
          <w:rFonts w:hint="eastAsia" w:ascii="仿宋_GB2312" w:hAnsi="楷体" w:cs="仿宋"/>
          <w:bCs/>
          <w:szCs w:val="32"/>
        </w:rPr>
        <w:t>各市</w:t>
      </w:r>
      <w:r>
        <w:rPr>
          <w:rFonts w:hint="eastAsia" w:ascii="仿宋_GB2312" w:hAnsi="黑体" w:cs="仿宋"/>
          <w:szCs w:val="32"/>
        </w:rPr>
        <w:t>要立足本地区实际和企业发展需求，认真谋划项目布局。坚持培优扶强的原则，突出绿色发展，保障质量，</w:t>
      </w:r>
      <w:r>
        <w:rPr>
          <w:rFonts w:hint="eastAsia" w:ascii="仿宋_GB2312" w:hAnsi="仿宋" w:cs="仿宋"/>
          <w:spacing w:val="-5"/>
          <w:szCs w:val="32"/>
        </w:rPr>
        <w:t>量力而行，杜绝“好大喜功”，</w:t>
      </w:r>
      <w:r>
        <w:rPr>
          <w:rFonts w:hint="eastAsia" w:ascii="仿宋_GB2312" w:hAnsi="黑体" w:cs="仿宋"/>
          <w:szCs w:val="32"/>
        </w:rPr>
        <w:t>禁止“撒胡椒面”，确保实施方案科学合理。</w:t>
      </w:r>
    </w:p>
    <w:p>
      <w:pPr>
        <w:keepNext w:val="0"/>
        <w:keepLines w:val="0"/>
        <w:pageBreakBefore w:val="0"/>
        <w:kinsoku/>
        <w:wordWrap/>
        <w:overflowPunct/>
        <w:topLinePunct w:val="0"/>
        <w:autoSpaceDE/>
        <w:autoSpaceDN/>
        <w:bidi w:val="0"/>
        <w:adjustRightInd/>
        <w:snapToGrid w:val="0"/>
        <w:spacing w:line="572" w:lineRule="exact"/>
        <w:ind w:firstLine="662" w:firstLineChars="200"/>
        <w:textAlignment w:val="auto"/>
        <w:rPr>
          <w:rFonts w:ascii="仿宋_GB2312" w:hAnsi="仿宋_GB2312" w:cs="仿宋_GB2312"/>
          <w:spacing w:val="5"/>
          <w:szCs w:val="32"/>
        </w:rPr>
      </w:pPr>
      <w:r>
        <w:rPr>
          <w:rFonts w:hint="eastAsia" w:ascii="楷体_GB2312" w:hAnsi="楷体_GB2312" w:eastAsia="楷体_GB2312" w:cs="楷体_GB2312"/>
          <w:b/>
          <w:spacing w:val="5"/>
          <w:szCs w:val="32"/>
        </w:rPr>
        <w:t>（三）落实资金保障。</w:t>
      </w:r>
      <w:r>
        <w:rPr>
          <w:rFonts w:hint="eastAsia" w:ascii="仿宋_GB2312" w:hAnsi="仿宋_GB2312" w:eastAsia="仿宋_GB2312" w:cs="仿宋_GB2312"/>
          <w:bCs/>
          <w:spacing w:val="5"/>
          <w:szCs w:val="32"/>
        </w:rPr>
        <w:t>各市可利用商品粮大省奖励资金等对项目给予补助，并</w:t>
      </w:r>
      <w:r>
        <w:rPr>
          <w:rFonts w:hint="eastAsia" w:ascii="仿宋_GB2312" w:hAnsi="仿宋_GB2312" w:eastAsia="仿宋_GB2312" w:cs="仿宋_GB2312"/>
          <w:spacing w:val="-5"/>
          <w:szCs w:val="32"/>
        </w:rPr>
        <w:t>认真落实相</w:t>
      </w:r>
      <w:r>
        <w:rPr>
          <w:rFonts w:hint="eastAsia" w:ascii="仿宋_GB2312" w:hAnsi="仿宋" w:cs="仿宋"/>
          <w:spacing w:val="-5"/>
          <w:szCs w:val="32"/>
        </w:rPr>
        <w:t>关财务管理规定</w:t>
      </w:r>
      <w:r>
        <w:rPr>
          <w:rFonts w:hint="eastAsia" w:ascii="仿宋_GB2312" w:hAnsi="仿宋" w:cs="仿宋"/>
          <w:szCs w:val="32"/>
        </w:rPr>
        <w:t>，建立专账专户，</w:t>
      </w:r>
      <w:r>
        <w:rPr>
          <w:rFonts w:hint="eastAsia" w:ascii="仿宋_GB2312" w:hAnsi="仿宋" w:cs="仿宋"/>
          <w:spacing w:val="-5"/>
          <w:szCs w:val="32"/>
        </w:rPr>
        <w:t>严格履行政府采购、招投标等手续</w:t>
      </w:r>
      <w:r>
        <w:rPr>
          <w:rFonts w:hint="eastAsia" w:ascii="仿宋_GB2312" w:hAnsi="仿宋_GB2312" w:cs="仿宋_GB2312"/>
          <w:spacing w:val="5"/>
          <w:szCs w:val="32"/>
        </w:rPr>
        <w:t>，</w:t>
      </w:r>
      <w:r>
        <w:rPr>
          <w:rFonts w:hint="eastAsia" w:ascii="仿宋_GB2312" w:hAnsi="仿宋" w:cs="仿宋"/>
          <w:szCs w:val="32"/>
        </w:rPr>
        <w:t>鼓励采用先建后补等形式下拨补助资金，</w:t>
      </w:r>
      <w:r>
        <w:rPr>
          <w:rFonts w:hint="eastAsia" w:ascii="仿宋_GB2312" w:hAnsi="仿宋_GB2312" w:cs="仿宋_GB2312"/>
          <w:spacing w:val="5"/>
          <w:szCs w:val="32"/>
        </w:rPr>
        <w:t>禁止挤占挪用。</w:t>
      </w:r>
      <w:r>
        <w:rPr>
          <w:rFonts w:hint="eastAsia" w:ascii="仿宋_GB2312" w:hAnsi="仿宋" w:cs="仿宋"/>
          <w:szCs w:val="32"/>
        </w:rPr>
        <w:t>补助资金不得用于安排车辆购置、人员工资和弥补办公经费缺口等机构运转支出，</w:t>
      </w:r>
      <w:r>
        <w:rPr>
          <w:rFonts w:hint="eastAsia" w:ascii="仿宋_GB2312" w:hAnsi="仿宋" w:cs="仿宋"/>
          <w:spacing w:val="-5"/>
          <w:szCs w:val="32"/>
        </w:rPr>
        <w:t>同一项目不得重复申请不同专项资金，切实保障资金使用安全，确保资金发挥最大效益。</w:t>
      </w:r>
    </w:p>
    <w:p>
      <w:pPr>
        <w:pStyle w:val="2"/>
        <w:keepNext w:val="0"/>
        <w:keepLines w:val="0"/>
        <w:pageBreakBefore w:val="0"/>
        <w:kinsoku/>
        <w:wordWrap/>
        <w:overflowPunct/>
        <w:topLinePunct w:val="0"/>
        <w:autoSpaceDE/>
        <w:autoSpaceDN/>
        <w:bidi w:val="0"/>
        <w:adjustRightInd/>
        <w:spacing w:line="572" w:lineRule="exact"/>
        <w:ind w:firstLine="662" w:firstLineChars="200"/>
        <w:textAlignment w:val="auto"/>
        <w:rPr>
          <w:sz w:val="28"/>
          <w:szCs w:val="28"/>
        </w:rPr>
      </w:pPr>
      <w:r>
        <w:rPr>
          <w:rFonts w:hint="eastAsia" w:ascii="楷体_GB2312" w:hAnsi="楷体_GB2312" w:eastAsia="楷体_GB2312" w:cs="楷体_GB2312"/>
          <w:b/>
          <w:spacing w:val="5"/>
          <w:sz w:val="32"/>
          <w:szCs w:val="32"/>
        </w:rPr>
        <w:t>（四）做好绩效管理。</w:t>
      </w:r>
      <w:r>
        <w:rPr>
          <w:rFonts w:hint="eastAsia" w:ascii="仿宋_GB2312" w:hAnsi="仿宋_GB2312" w:eastAsia="仿宋_GB2312" w:cs="仿宋_GB2312"/>
          <w:spacing w:val="5"/>
          <w:sz w:val="32"/>
          <w:szCs w:val="32"/>
        </w:rPr>
        <w:t>各市要结合实际，认真组织，指导县（市、区）科学设定绩效目标，重点在项目数量、质量、时效、经济效益、社会效益等方面细化量化，保障绩效目标合理可行、匹配适当，确保粮食节约减损健康消费提升行动顺利完成。</w:t>
      </w:r>
    </w:p>
    <w:sectPr>
      <w:footerReference r:id="rId5" w:type="default"/>
      <w:pgSz w:w="11907" w:h="16840"/>
      <w:pgMar w:top="2098" w:right="1474" w:bottom="1984" w:left="1587" w:header="851" w:footer="1531" w:gutter="0"/>
      <w:pgNumType w:fmt="numberInDash"/>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0000000000000000000"/>
    <w:charset w:val="00"/>
    <w:family w:val="modern"/>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10" w:usb3="00000000" w:csb0="0000019F" w:csb1="00000000"/>
  </w:font>
  <w:font w:name="”“Times New Roman”“">
    <w:altName w:val="宋体"/>
    <w:panose1 w:val="00000000000000000000"/>
    <w:charset w:val="00"/>
    <w:family w:val="roma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楷体_GB2312">
    <w:altName w:val="楷体"/>
    <w:panose1 w:val="00000000000000000000"/>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pPr>
    <w:r>
      <w:rPr>
        <w:sz w:val="32"/>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牛天瑞">
    <w15:presenceInfo w15:providerId="None" w15:userId="牛天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revisionView w:markup="0"/>
  <w:trackRevisions w:val="true"/>
  <w:documentProtection w:enforcement="0"/>
  <w:defaultTabStop w:val="425"/>
  <w:drawingGridHorizontalSpacing w:val="320"/>
  <w:drawingGridVerticalSpacing w:val="218"/>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2"/>
  </w:compat>
  <w:rsids>
    <w:rsidRoot w:val="00C10087"/>
    <w:rsid w:val="000001E5"/>
    <w:rsid w:val="000158EE"/>
    <w:rsid w:val="00023F00"/>
    <w:rsid w:val="00024088"/>
    <w:rsid w:val="00025532"/>
    <w:rsid w:val="00031B62"/>
    <w:rsid w:val="00035FB1"/>
    <w:rsid w:val="000535C4"/>
    <w:rsid w:val="0005669F"/>
    <w:rsid w:val="00062797"/>
    <w:rsid w:val="00065C59"/>
    <w:rsid w:val="000726E8"/>
    <w:rsid w:val="00083301"/>
    <w:rsid w:val="0008387E"/>
    <w:rsid w:val="00090397"/>
    <w:rsid w:val="0009557E"/>
    <w:rsid w:val="000A2858"/>
    <w:rsid w:val="000A75B9"/>
    <w:rsid w:val="000B13DD"/>
    <w:rsid w:val="000B19CE"/>
    <w:rsid w:val="000B534A"/>
    <w:rsid w:val="000C0CDF"/>
    <w:rsid w:val="000C146F"/>
    <w:rsid w:val="000C2651"/>
    <w:rsid w:val="000C3A3E"/>
    <w:rsid w:val="000C45AC"/>
    <w:rsid w:val="000D0748"/>
    <w:rsid w:val="000D2A6F"/>
    <w:rsid w:val="000D300B"/>
    <w:rsid w:val="000D393E"/>
    <w:rsid w:val="000D482A"/>
    <w:rsid w:val="000D7D09"/>
    <w:rsid w:val="000E1093"/>
    <w:rsid w:val="000E4B1B"/>
    <w:rsid w:val="000E71F8"/>
    <w:rsid w:val="0010377E"/>
    <w:rsid w:val="00107120"/>
    <w:rsid w:val="00110B1D"/>
    <w:rsid w:val="00112E5C"/>
    <w:rsid w:val="0012088E"/>
    <w:rsid w:val="00125B46"/>
    <w:rsid w:val="00130E33"/>
    <w:rsid w:val="00133694"/>
    <w:rsid w:val="00137874"/>
    <w:rsid w:val="00153241"/>
    <w:rsid w:val="00153D1E"/>
    <w:rsid w:val="001622F7"/>
    <w:rsid w:val="0016629E"/>
    <w:rsid w:val="0017464D"/>
    <w:rsid w:val="00174BA4"/>
    <w:rsid w:val="00175A69"/>
    <w:rsid w:val="001806A6"/>
    <w:rsid w:val="00181594"/>
    <w:rsid w:val="00181FA0"/>
    <w:rsid w:val="00186CE7"/>
    <w:rsid w:val="001907E7"/>
    <w:rsid w:val="001A4164"/>
    <w:rsid w:val="001C4F37"/>
    <w:rsid w:val="001C5364"/>
    <w:rsid w:val="001D4264"/>
    <w:rsid w:val="001E53F2"/>
    <w:rsid w:val="00211B58"/>
    <w:rsid w:val="00212C32"/>
    <w:rsid w:val="00217DC8"/>
    <w:rsid w:val="00226EFA"/>
    <w:rsid w:val="00233FF1"/>
    <w:rsid w:val="00240AB1"/>
    <w:rsid w:val="00242345"/>
    <w:rsid w:val="00244823"/>
    <w:rsid w:val="00252DE0"/>
    <w:rsid w:val="00255970"/>
    <w:rsid w:val="00265327"/>
    <w:rsid w:val="00277344"/>
    <w:rsid w:val="00277DF6"/>
    <w:rsid w:val="00292D2B"/>
    <w:rsid w:val="002A3C59"/>
    <w:rsid w:val="002C0508"/>
    <w:rsid w:val="002E16B8"/>
    <w:rsid w:val="002F0EC8"/>
    <w:rsid w:val="002F4D0F"/>
    <w:rsid w:val="002F5FE4"/>
    <w:rsid w:val="002F6B80"/>
    <w:rsid w:val="00312630"/>
    <w:rsid w:val="00315E64"/>
    <w:rsid w:val="003226BE"/>
    <w:rsid w:val="00325397"/>
    <w:rsid w:val="00334E05"/>
    <w:rsid w:val="003364A1"/>
    <w:rsid w:val="00344905"/>
    <w:rsid w:val="003527EE"/>
    <w:rsid w:val="00354DD0"/>
    <w:rsid w:val="00357529"/>
    <w:rsid w:val="003609DF"/>
    <w:rsid w:val="00361E8D"/>
    <w:rsid w:val="00362D03"/>
    <w:rsid w:val="003755FC"/>
    <w:rsid w:val="00377132"/>
    <w:rsid w:val="00380B73"/>
    <w:rsid w:val="00383BBB"/>
    <w:rsid w:val="003A7927"/>
    <w:rsid w:val="003B4B18"/>
    <w:rsid w:val="003B6A34"/>
    <w:rsid w:val="003B7617"/>
    <w:rsid w:val="003D236A"/>
    <w:rsid w:val="003D27BE"/>
    <w:rsid w:val="003D5FD1"/>
    <w:rsid w:val="003D7CB9"/>
    <w:rsid w:val="003E08F0"/>
    <w:rsid w:val="003E69B8"/>
    <w:rsid w:val="003F4AB0"/>
    <w:rsid w:val="003F7EE5"/>
    <w:rsid w:val="00401C10"/>
    <w:rsid w:val="004045B0"/>
    <w:rsid w:val="004046F6"/>
    <w:rsid w:val="0042199E"/>
    <w:rsid w:val="00424D63"/>
    <w:rsid w:val="00425F93"/>
    <w:rsid w:val="00430F55"/>
    <w:rsid w:val="00443780"/>
    <w:rsid w:val="0044414E"/>
    <w:rsid w:val="004504BF"/>
    <w:rsid w:val="00451A34"/>
    <w:rsid w:val="00453DA4"/>
    <w:rsid w:val="00455DAB"/>
    <w:rsid w:val="00455E61"/>
    <w:rsid w:val="00465B25"/>
    <w:rsid w:val="00487133"/>
    <w:rsid w:val="00487EF6"/>
    <w:rsid w:val="00492C36"/>
    <w:rsid w:val="0049697D"/>
    <w:rsid w:val="004977CE"/>
    <w:rsid w:val="004B0A4E"/>
    <w:rsid w:val="004B2B23"/>
    <w:rsid w:val="004B35B3"/>
    <w:rsid w:val="004B38F7"/>
    <w:rsid w:val="004B599A"/>
    <w:rsid w:val="004E25E9"/>
    <w:rsid w:val="004F2683"/>
    <w:rsid w:val="00500542"/>
    <w:rsid w:val="005006EE"/>
    <w:rsid w:val="0051084E"/>
    <w:rsid w:val="00521100"/>
    <w:rsid w:val="00521E18"/>
    <w:rsid w:val="00523751"/>
    <w:rsid w:val="00533C41"/>
    <w:rsid w:val="00541731"/>
    <w:rsid w:val="00541E2E"/>
    <w:rsid w:val="0054242B"/>
    <w:rsid w:val="00547363"/>
    <w:rsid w:val="0055757B"/>
    <w:rsid w:val="0056191F"/>
    <w:rsid w:val="00567FB6"/>
    <w:rsid w:val="005745B8"/>
    <w:rsid w:val="00575764"/>
    <w:rsid w:val="00586666"/>
    <w:rsid w:val="005A4677"/>
    <w:rsid w:val="005A56F4"/>
    <w:rsid w:val="005A70A7"/>
    <w:rsid w:val="005B278C"/>
    <w:rsid w:val="005B4C94"/>
    <w:rsid w:val="005C2B44"/>
    <w:rsid w:val="005C59C8"/>
    <w:rsid w:val="005E1D90"/>
    <w:rsid w:val="005E1E08"/>
    <w:rsid w:val="005E69D7"/>
    <w:rsid w:val="00601C0B"/>
    <w:rsid w:val="00603ACC"/>
    <w:rsid w:val="00606840"/>
    <w:rsid w:val="00610B06"/>
    <w:rsid w:val="00615BE4"/>
    <w:rsid w:val="00616607"/>
    <w:rsid w:val="00620FC5"/>
    <w:rsid w:val="006326DC"/>
    <w:rsid w:val="00647DBC"/>
    <w:rsid w:val="00676203"/>
    <w:rsid w:val="006879C5"/>
    <w:rsid w:val="006949E6"/>
    <w:rsid w:val="006A0356"/>
    <w:rsid w:val="006A0806"/>
    <w:rsid w:val="006A1C4C"/>
    <w:rsid w:val="006A42FD"/>
    <w:rsid w:val="006C0C90"/>
    <w:rsid w:val="006C11D7"/>
    <w:rsid w:val="006D127C"/>
    <w:rsid w:val="006D1BCE"/>
    <w:rsid w:val="006E0D48"/>
    <w:rsid w:val="006F1F1B"/>
    <w:rsid w:val="006F4829"/>
    <w:rsid w:val="0070176B"/>
    <w:rsid w:val="007051BD"/>
    <w:rsid w:val="0070650D"/>
    <w:rsid w:val="007365D3"/>
    <w:rsid w:val="0074241D"/>
    <w:rsid w:val="00744568"/>
    <w:rsid w:val="00752CE3"/>
    <w:rsid w:val="00757A97"/>
    <w:rsid w:val="007630A7"/>
    <w:rsid w:val="007702FB"/>
    <w:rsid w:val="00777798"/>
    <w:rsid w:val="00794C71"/>
    <w:rsid w:val="007A3618"/>
    <w:rsid w:val="007A7D9F"/>
    <w:rsid w:val="007B0166"/>
    <w:rsid w:val="007C01AC"/>
    <w:rsid w:val="007C2B51"/>
    <w:rsid w:val="007C7B67"/>
    <w:rsid w:val="007E13CE"/>
    <w:rsid w:val="007E2BAE"/>
    <w:rsid w:val="007F217A"/>
    <w:rsid w:val="008018A7"/>
    <w:rsid w:val="008063BE"/>
    <w:rsid w:val="008217A1"/>
    <w:rsid w:val="00822E90"/>
    <w:rsid w:val="00824A92"/>
    <w:rsid w:val="00825DBA"/>
    <w:rsid w:val="0083482E"/>
    <w:rsid w:val="008402F8"/>
    <w:rsid w:val="0084389E"/>
    <w:rsid w:val="00850D68"/>
    <w:rsid w:val="0085327D"/>
    <w:rsid w:val="00853863"/>
    <w:rsid w:val="00857DE0"/>
    <w:rsid w:val="008705F7"/>
    <w:rsid w:val="0088018F"/>
    <w:rsid w:val="00880AC3"/>
    <w:rsid w:val="00882EEC"/>
    <w:rsid w:val="008853B4"/>
    <w:rsid w:val="008965BF"/>
    <w:rsid w:val="008C2035"/>
    <w:rsid w:val="008C4563"/>
    <w:rsid w:val="008D069F"/>
    <w:rsid w:val="008D0BB8"/>
    <w:rsid w:val="008D2BC3"/>
    <w:rsid w:val="008D4ED3"/>
    <w:rsid w:val="008F1E38"/>
    <w:rsid w:val="00900E53"/>
    <w:rsid w:val="00907E65"/>
    <w:rsid w:val="0091056C"/>
    <w:rsid w:val="009115C0"/>
    <w:rsid w:val="00911943"/>
    <w:rsid w:val="00912E59"/>
    <w:rsid w:val="00912F0B"/>
    <w:rsid w:val="00914EBB"/>
    <w:rsid w:val="00937758"/>
    <w:rsid w:val="0095058D"/>
    <w:rsid w:val="00952E66"/>
    <w:rsid w:val="00962AEC"/>
    <w:rsid w:val="0097691F"/>
    <w:rsid w:val="00984B82"/>
    <w:rsid w:val="0098741E"/>
    <w:rsid w:val="00991D90"/>
    <w:rsid w:val="0099351A"/>
    <w:rsid w:val="009940E5"/>
    <w:rsid w:val="00996BE1"/>
    <w:rsid w:val="00996D8B"/>
    <w:rsid w:val="009B23F4"/>
    <w:rsid w:val="009B5221"/>
    <w:rsid w:val="009B71B2"/>
    <w:rsid w:val="009C5CA2"/>
    <w:rsid w:val="009E2FFE"/>
    <w:rsid w:val="009F16A2"/>
    <w:rsid w:val="009F5435"/>
    <w:rsid w:val="00A0504C"/>
    <w:rsid w:val="00A0750E"/>
    <w:rsid w:val="00A1021E"/>
    <w:rsid w:val="00A14A59"/>
    <w:rsid w:val="00A249B0"/>
    <w:rsid w:val="00A25E52"/>
    <w:rsid w:val="00A309CC"/>
    <w:rsid w:val="00A34687"/>
    <w:rsid w:val="00A36A0F"/>
    <w:rsid w:val="00A51974"/>
    <w:rsid w:val="00A5748B"/>
    <w:rsid w:val="00A67B3C"/>
    <w:rsid w:val="00A71847"/>
    <w:rsid w:val="00A72720"/>
    <w:rsid w:val="00A748F1"/>
    <w:rsid w:val="00A93234"/>
    <w:rsid w:val="00A94B37"/>
    <w:rsid w:val="00A97311"/>
    <w:rsid w:val="00AB7E1F"/>
    <w:rsid w:val="00AC3BD8"/>
    <w:rsid w:val="00AC464D"/>
    <w:rsid w:val="00AC4F26"/>
    <w:rsid w:val="00AC524E"/>
    <w:rsid w:val="00AC54E9"/>
    <w:rsid w:val="00AD2820"/>
    <w:rsid w:val="00AE506A"/>
    <w:rsid w:val="00AE70B8"/>
    <w:rsid w:val="00AF5118"/>
    <w:rsid w:val="00B03092"/>
    <w:rsid w:val="00B042BC"/>
    <w:rsid w:val="00B16322"/>
    <w:rsid w:val="00B438A4"/>
    <w:rsid w:val="00B50C3A"/>
    <w:rsid w:val="00B667C8"/>
    <w:rsid w:val="00B676C7"/>
    <w:rsid w:val="00B7174C"/>
    <w:rsid w:val="00B71A84"/>
    <w:rsid w:val="00B71FAD"/>
    <w:rsid w:val="00B75A3E"/>
    <w:rsid w:val="00B832AE"/>
    <w:rsid w:val="00B9465A"/>
    <w:rsid w:val="00BA12D0"/>
    <w:rsid w:val="00BA1F7C"/>
    <w:rsid w:val="00BA6C3C"/>
    <w:rsid w:val="00BC6852"/>
    <w:rsid w:val="00BD2F43"/>
    <w:rsid w:val="00BE39E9"/>
    <w:rsid w:val="00BE4C94"/>
    <w:rsid w:val="00BF2C82"/>
    <w:rsid w:val="00BF341E"/>
    <w:rsid w:val="00BF7F01"/>
    <w:rsid w:val="00C06BC3"/>
    <w:rsid w:val="00C0759C"/>
    <w:rsid w:val="00C10087"/>
    <w:rsid w:val="00C14446"/>
    <w:rsid w:val="00C16111"/>
    <w:rsid w:val="00C305D0"/>
    <w:rsid w:val="00C43B47"/>
    <w:rsid w:val="00C601B1"/>
    <w:rsid w:val="00C60255"/>
    <w:rsid w:val="00C762A2"/>
    <w:rsid w:val="00C8097E"/>
    <w:rsid w:val="00C8384A"/>
    <w:rsid w:val="00C90A9B"/>
    <w:rsid w:val="00C920D0"/>
    <w:rsid w:val="00C92C93"/>
    <w:rsid w:val="00CC0548"/>
    <w:rsid w:val="00CC499D"/>
    <w:rsid w:val="00CD282B"/>
    <w:rsid w:val="00CE11D9"/>
    <w:rsid w:val="00CF1399"/>
    <w:rsid w:val="00D06677"/>
    <w:rsid w:val="00D11D68"/>
    <w:rsid w:val="00D1313D"/>
    <w:rsid w:val="00D13CEE"/>
    <w:rsid w:val="00D25E6C"/>
    <w:rsid w:val="00D3249A"/>
    <w:rsid w:val="00D35C8C"/>
    <w:rsid w:val="00D54A94"/>
    <w:rsid w:val="00D602EA"/>
    <w:rsid w:val="00D653B1"/>
    <w:rsid w:val="00D663F5"/>
    <w:rsid w:val="00D67405"/>
    <w:rsid w:val="00D707A0"/>
    <w:rsid w:val="00D7407A"/>
    <w:rsid w:val="00DA371E"/>
    <w:rsid w:val="00DA5975"/>
    <w:rsid w:val="00DB4A5E"/>
    <w:rsid w:val="00DB6D74"/>
    <w:rsid w:val="00DC257C"/>
    <w:rsid w:val="00DC3826"/>
    <w:rsid w:val="00DC7A29"/>
    <w:rsid w:val="00DD107C"/>
    <w:rsid w:val="00DD1129"/>
    <w:rsid w:val="00DD7B7E"/>
    <w:rsid w:val="00DE02E5"/>
    <w:rsid w:val="00DE2419"/>
    <w:rsid w:val="00DE3E70"/>
    <w:rsid w:val="00DE4B38"/>
    <w:rsid w:val="00DF0B6A"/>
    <w:rsid w:val="00DF2C1B"/>
    <w:rsid w:val="00DF3A64"/>
    <w:rsid w:val="00DF4C01"/>
    <w:rsid w:val="00DF6F78"/>
    <w:rsid w:val="00DF7C36"/>
    <w:rsid w:val="00E368BF"/>
    <w:rsid w:val="00E4368F"/>
    <w:rsid w:val="00E46222"/>
    <w:rsid w:val="00E46B00"/>
    <w:rsid w:val="00E47D41"/>
    <w:rsid w:val="00E73070"/>
    <w:rsid w:val="00E73AC3"/>
    <w:rsid w:val="00E76FF8"/>
    <w:rsid w:val="00E81D06"/>
    <w:rsid w:val="00E86C80"/>
    <w:rsid w:val="00E911C5"/>
    <w:rsid w:val="00E96067"/>
    <w:rsid w:val="00EA1A32"/>
    <w:rsid w:val="00EA5D57"/>
    <w:rsid w:val="00EB2E9A"/>
    <w:rsid w:val="00EB70AB"/>
    <w:rsid w:val="00EC0FC7"/>
    <w:rsid w:val="00EC51B7"/>
    <w:rsid w:val="00EC7689"/>
    <w:rsid w:val="00EE2628"/>
    <w:rsid w:val="00EF091C"/>
    <w:rsid w:val="00F17041"/>
    <w:rsid w:val="00F24D4E"/>
    <w:rsid w:val="00F25512"/>
    <w:rsid w:val="00F32AA3"/>
    <w:rsid w:val="00F40C33"/>
    <w:rsid w:val="00F42C48"/>
    <w:rsid w:val="00F50348"/>
    <w:rsid w:val="00F576C7"/>
    <w:rsid w:val="00F65C95"/>
    <w:rsid w:val="00F72081"/>
    <w:rsid w:val="00F82B5B"/>
    <w:rsid w:val="00F96856"/>
    <w:rsid w:val="00F97586"/>
    <w:rsid w:val="00FA2F94"/>
    <w:rsid w:val="00FA7FD7"/>
    <w:rsid w:val="00FB447E"/>
    <w:rsid w:val="00FC4EBA"/>
    <w:rsid w:val="00FC64D0"/>
    <w:rsid w:val="00FD2EFD"/>
    <w:rsid w:val="00FD69DA"/>
    <w:rsid w:val="00FF68EE"/>
    <w:rsid w:val="010C543D"/>
    <w:rsid w:val="02792F9B"/>
    <w:rsid w:val="03157EE1"/>
    <w:rsid w:val="046B3380"/>
    <w:rsid w:val="04DA061F"/>
    <w:rsid w:val="05282A26"/>
    <w:rsid w:val="05D61374"/>
    <w:rsid w:val="05DE7F94"/>
    <w:rsid w:val="060B5E44"/>
    <w:rsid w:val="0699289A"/>
    <w:rsid w:val="06CF280B"/>
    <w:rsid w:val="07262F42"/>
    <w:rsid w:val="074000EE"/>
    <w:rsid w:val="074E3384"/>
    <w:rsid w:val="08736AE3"/>
    <w:rsid w:val="08AA16F5"/>
    <w:rsid w:val="08E9215E"/>
    <w:rsid w:val="09744731"/>
    <w:rsid w:val="0AD443DF"/>
    <w:rsid w:val="0AE104AB"/>
    <w:rsid w:val="0AF33399"/>
    <w:rsid w:val="0B336D36"/>
    <w:rsid w:val="0B4247C1"/>
    <w:rsid w:val="0B85598D"/>
    <w:rsid w:val="0B861462"/>
    <w:rsid w:val="0B8A09A4"/>
    <w:rsid w:val="0DE8360C"/>
    <w:rsid w:val="0E84307D"/>
    <w:rsid w:val="0E8E3087"/>
    <w:rsid w:val="0EE4035C"/>
    <w:rsid w:val="0F2E1E8F"/>
    <w:rsid w:val="0FA12302"/>
    <w:rsid w:val="1098410F"/>
    <w:rsid w:val="10A2201E"/>
    <w:rsid w:val="10BC5E37"/>
    <w:rsid w:val="10BD10AE"/>
    <w:rsid w:val="110A0458"/>
    <w:rsid w:val="126950D1"/>
    <w:rsid w:val="127077B2"/>
    <w:rsid w:val="127A5A84"/>
    <w:rsid w:val="12864734"/>
    <w:rsid w:val="13182FC8"/>
    <w:rsid w:val="1331496B"/>
    <w:rsid w:val="13BD2E28"/>
    <w:rsid w:val="13C61B7D"/>
    <w:rsid w:val="143052CB"/>
    <w:rsid w:val="150823BE"/>
    <w:rsid w:val="15A858C2"/>
    <w:rsid w:val="164C37DC"/>
    <w:rsid w:val="165F25C5"/>
    <w:rsid w:val="165F49D8"/>
    <w:rsid w:val="16D5133F"/>
    <w:rsid w:val="16DC594F"/>
    <w:rsid w:val="16EB4A67"/>
    <w:rsid w:val="170B781F"/>
    <w:rsid w:val="17E94C62"/>
    <w:rsid w:val="18C23CE3"/>
    <w:rsid w:val="18C82A38"/>
    <w:rsid w:val="19036716"/>
    <w:rsid w:val="191762F9"/>
    <w:rsid w:val="19C967AD"/>
    <w:rsid w:val="1AD21A56"/>
    <w:rsid w:val="1C0523E9"/>
    <w:rsid w:val="1CB316CF"/>
    <w:rsid w:val="1DED769B"/>
    <w:rsid w:val="1E2536DA"/>
    <w:rsid w:val="1E830353"/>
    <w:rsid w:val="1FAC58F3"/>
    <w:rsid w:val="1FB45CC1"/>
    <w:rsid w:val="1FD11DA2"/>
    <w:rsid w:val="200E02CB"/>
    <w:rsid w:val="209C5C91"/>
    <w:rsid w:val="209D6A16"/>
    <w:rsid w:val="20AA3662"/>
    <w:rsid w:val="20F02F9D"/>
    <w:rsid w:val="21A24BB8"/>
    <w:rsid w:val="21B13FD7"/>
    <w:rsid w:val="228B4537"/>
    <w:rsid w:val="22F45509"/>
    <w:rsid w:val="23AA5307"/>
    <w:rsid w:val="23E8671F"/>
    <w:rsid w:val="24120373"/>
    <w:rsid w:val="24771563"/>
    <w:rsid w:val="24E3524E"/>
    <w:rsid w:val="252736EF"/>
    <w:rsid w:val="25813A7E"/>
    <w:rsid w:val="25A437BB"/>
    <w:rsid w:val="25DA2E95"/>
    <w:rsid w:val="260521B6"/>
    <w:rsid w:val="269A666B"/>
    <w:rsid w:val="279204F1"/>
    <w:rsid w:val="279F2D3F"/>
    <w:rsid w:val="27D56820"/>
    <w:rsid w:val="28636060"/>
    <w:rsid w:val="291E49C7"/>
    <w:rsid w:val="29502FC7"/>
    <w:rsid w:val="295A2EF7"/>
    <w:rsid w:val="296F5DD0"/>
    <w:rsid w:val="2A266B9B"/>
    <w:rsid w:val="2A2C4571"/>
    <w:rsid w:val="2A8D23BD"/>
    <w:rsid w:val="2AF83F7F"/>
    <w:rsid w:val="2AFFD7FC"/>
    <w:rsid w:val="2BD66EF1"/>
    <w:rsid w:val="2C185601"/>
    <w:rsid w:val="2C2E1854"/>
    <w:rsid w:val="2C2E1DD2"/>
    <w:rsid w:val="2C3A177E"/>
    <w:rsid w:val="2DEC5C5F"/>
    <w:rsid w:val="2E1E7ED1"/>
    <w:rsid w:val="2EA5715A"/>
    <w:rsid w:val="2ED91824"/>
    <w:rsid w:val="2EFA3CF3"/>
    <w:rsid w:val="2F102DA7"/>
    <w:rsid w:val="2F6F7779"/>
    <w:rsid w:val="2F773072"/>
    <w:rsid w:val="2F7B3F3E"/>
    <w:rsid w:val="30C13076"/>
    <w:rsid w:val="31054754"/>
    <w:rsid w:val="31B05648"/>
    <w:rsid w:val="31E33F00"/>
    <w:rsid w:val="31FB27D7"/>
    <w:rsid w:val="32281128"/>
    <w:rsid w:val="32626C61"/>
    <w:rsid w:val="32A02C6A"/>
    <w:rsid w:val="34124EB2"/>
    <w:rsid w:val="3430030F"/>
    <w:rsid w:val="34421C31"/>
    <w:rsid w:val="34CE02D3"/>
    <w:rsid w:val="350A2E4E"/>
    <w:rsid w:val="3513710C"/>
    <w:rsid w:val="35B64254"/>
    <w:rsid w:val="35D12373"/>
    <w:rsid w:val="36424D84"/>
    <w:rsid w:val="36737C0F"/>
    <w:rsid w:val="3687025F"/>
    <w:rsid w:val="36EA5B6E"/>
    <w:rsid w:val="37842E2D"/>
    <w:rsid w:val="379A0D50"/>
    <w:rsid w:val="37A93457"/>
    <w:rsid w:val="383941AC"/>
    <w:rsid w:val="387C6C93"/>
    <w:rsid w:val="38D00CC5"/>
    <w:rsid w:val="395F7102"/>
    <w:rsid w:val="39632B3D"/>
    <w:rsid w:val="39E43912"/>
    <w:rsid w:val="3A021F49"/>
    <w:rsid w:val="3A18210B"/>
    <w:rsid w:val="3AE1361D"/>
    <w:rsid w:val="3B914DE4"/>
    <w:rsid w:val="3C370D5C"/>
    <w:rsid w:val="3D3E654E"/>
    <w:rsid w:val="3D642AD9"/>
    <w:rsid w:val="3D8362BC"/>
    <w:rsid w:val="3DDE1ABF"/>
    <w:rsid w:val="3E0F7990"/>
    <w:rsid w:val="3E762A85"/>
    <w:rsid w:val="3E7E3208"/>
    <w:rsid w:val="3E9E4B5F"/>
    <w:rsid w:val="3EBD1872"/>
    <w:rsid w:val="3F0C5C23"/>
    <w:rsid w:val="3F464A73"/>
    <w:rsid w:val="3F4C6ABE"/>
    <w:rsid w:val="3F6301F5"/>
    <w:rsid w:val="3F6A0974"/>
    <w:rsid w:val="3F6E0848"/>
    <w:rsid w:val="3F745407"/>
    <w:rsid w:val="40084497"/>
    <w:rsid w:val="404F2557"/>
    <w:rsid w:val="40F110A5"/>
    <w:rsid w:val="410119D6"/>
    <w:rsid w:val="42952DFF"/>
    <w:rsid w:val="42EB51C1"/>
    <w:rsid w:val="42F34EBD"/>
    <w:rsid w:val="43B71DFF"/>
    <w:rsid w:val="44B62CB8"/>
    <w:rsid w:val="451E6825"/>
    <w:rsid w:val="46581115"/>
    <w:rsid w:val="466711E5"/>
    <w:rsid w:val="468E0519"/>
    <w:rsid w:val="46AC70C8"/>
    <w:rsid w:val="46C56654"/>
    <w:rsid w:val="46D90ABE"/>
    <w:rsid w:val="46DF5AB8"/>
    <w:rsid w:val="46F84B92"/>
    <w:rsid w:val="4753720A"/>
    <w:rsid w:val="47B57B96"/>
    <w:rsid w:val="47FB1D49"/>
    <w:rsid w:val="484E49CF"/>
    <w:rsid w:val="4900058E"/>
    <w:rsid w:val="49381071"/>
    <w:rsid w:val="4A640341"/>
    <w:rsid w:val="4AEC406E"/>
    <w:rsid w:val="4B146099"/>
    <w:rsid w:val="4B404981"/>
    <w:rsid w:val="4B860C50"/>
    <w:rsid w:val="4BC71F55"/>
    <w:rsid w:val="4C013813"/>
    <w:rsid w:val="4C9E3B7A"/>
    <w:rsid w:val="4CCE0B6D"/>
    <w:rsid w:val="4D0C28C4"/>
    <w:rsid w:val="4DAB0294"/>
    <w:rsid w:val="4E1D1867"/>
    <w:rsid w:val="4EAC4DA6"/>
    <w:rsid w:val="4F005565"/>
    <w:rsid w:val="4F0E144F"/>
    <w:rsid w:val="4F1E59C0"/>
    <w:rsid w:val="4F485FC3"/>
    <w:rsid w:val="4F6D618B"/>
    <w:rsid w:val="4F862056"/>
    <w:rsid w:val="4FBC1456"/>
    <w:rsid w:val="50390F66"/>
    <w:rsid w:val="51381AC1"/>
    <w:rsid w:val="51762AEE"/>
    <w:rsid w:val="518219C7"/>
    <w:rsid w:val="51CA2669"/>
    <w:rsid w:val="52D010DE"/>
    <w:rsid w:val="530C0B1B"/>
    <w:rsid w:val="5331675D"/>
    <w:rsid w:val="54032BE8"/>
    <w:rsid w:val="540551DE"/>
    <w:rsid w:val="543D1CD8"/>
    <w:rsid w:val="54D13EBC"/>
    <w:rsid w:val="54E60C06"/>
    <w:rsid w:val="54F16BC9"/>
    <w:rsid w:val="55765982"/>
    <w:rsid w:val="558A1E61"/>
    <w:rsid w:val="55C975BB"/>
    <w:rsid w:val="55FC2D0F"/>
    <w:rsid w:val="56160AC4"/>
    <w:rsid w:val="56C440E6"/>
    <w:rsid w:val="56C699C8"/>
    <w:rsid w:val="572B04AD"/>
    <w:rsid w:val="5860672D"/>
    <w:rsid w:val="586734D3"/>
    <w:rsid w:val="58F93FE8"/>
    <w:rsid w:val="593E3406"/>
    <w:rsid w:val="59633A07"/>
    <w:rsid w:val="59746691"/>
    <w:rsid w:val="597773A5"/>
    <w:rsid w:val="597A3ED7"/>
    <w:rsid w:val="5A0F7CF9"/>
    <w:rsid w:val="5AE43CC5"/>
    <w:rsid w:val="5BEB3EF2"/>
    <w:rsid w:val="5C487C78"/>
    <w:rsid w:val="5CA07A97"/>
    <w:rsid w:val="5CBE2966"/>
    <w:rsid w:val="5D043384"/>
    <w:rsid w:val="5D1C01AF"/>
    <w:rsid w:val="5D2D5D9D"/>
    <w:rsid w:val="5D8A6083"/>
    <w:rsid w:val="5DCE58F2"/>
    <w:rsid w:val="5DD62357"/>
    <w:rsid w:val="5E6A56B6"/>
    <w:rsid w:val="5E7303CB"/>
    <w:rsid w:val="603863F0"/>
    <w:rsid w:val="605849BF"/>
    <w:rsid w:val="60892F41"/>
    <w:rsid w:val="609A12F1"/>
    <w:rsid w:val="60A364E6"/>
    <w:rsid w:val="60DB2B68"/>
    <w:rsid w:val="6113030D"/>
    <w:rsid w:val="61BA031A"/>
    <w:rsid w:val="61C7423C"/>
    <w:rsid w:val="629114D1"/>
    <w:rsid w:val="633F71E8"/>
    <w:rsid w:val="634D2A75"/>
    <w:rsid w:val="63B71897"/>
    <w:rsid w:val="64207CFD"/>
    <w:rsid w:val="64900D6E"/>
    <w:rsid w:val="64A66197"/>
    <w:rsid w:val="64ED16D9"/>
    <w:rsid w:val="64F62DB2"/>
    <w:rsid w:val="65FBE2E4"/>
    <w:rsid w:val="66033A7B"/>
    <w:rsid w:val="66683674"/>
    <w:rsid w:val="66C60E3F"/>
    <w:rsid w:val="66EB60E9"/>
    <w:rsid w:val="673E2190"/>
    <w:rsid w:val="676B0588"/>
    <w:rsid w:val="67721777"/>
    <w:rsid w:val="68324798"/>
    <w:rsid w:val="68652D73"/>
    <w:rsid w:val="68653B68"/>
    <w:rsid w:val="68B8655E"/>
    <w:rsid w:val="69A31BE4"/>
    <w:rsid w:val="6A3416A8"/>
    <w:rsid w:val="6C6A7869"/>
    <w:rsid w:val="6C8E589F"/>
    <w:rsid w:val="6D9B158F"/>
    <w:rsid w:val="6EB072A6"/>
    <w:rsid w:val="6EBA4856"/>
    <w:rsid w:val="6EBC18A9"/>
    <w:rsid w:val="6EFD5FAC"/>
    <w:rsid w:val="6F0C2711"/>
    <w:rsid w:val="6F6E4FAC"/>
    <w:rsid w:val="6F890B1A"/>
    <w:rsid w:val="70C269D0"/>
    <w:rsid w:val="710B074B"/>
    <w:rsid w:val="710D6FDF"/>
    <w:rsid w:val="71283836"/>
    <w:rsid w:val="717405BF"/>
    <w:rsid w:val="71AF49AC"/>
    <w:rsid w:val="71E906CF"/>
    <w:rsid w:val="728672AA"/>
    <w:rsid w:val="72921A13"/>
    <w:rsid w:val="72CF4806"/>
    <w:rsid w:val="72E15C68"/>
    <w:rsid w:val="73843BC3"/>
    <w:rsid w:val="7389665F"/>
    <w:rsid w:val="73A31DEF"/>
    <w:rsid w:val="73C30951"/>
    <w:rsid w:val="74705357"/>
    <w:rsid w:val="748638E0"/>
    <w:rsid w:val="74D20C18"/>
    <w:rsid w:val="74D74B52"/>
    <w:rsid w:val="75487AC7"/>
    <w:rsid w:val="755B6C00"/>
    <w:rsid w:val="757535C5"/>
    <w:rsid w:val="75EF1079"/>
    <w:rsid w:val="75FF9075"/>
    <w:rsid w:val="76755F27"/>
    <w:rsid w:val="77E85332"/>
    <w:rsid w:val="77EF85A0"/>
    <w:rsid w:val="78F71711"/>
    <w:rsid w:val="793D711A"/>
    <w:rsid w:val="797E7615"/>
    <w:rsid w:val="798B0C07"/>
    <w:rsid w:val="79E97DC5"/>
    <w:rsid w:val="7A2E4471"/>
    <w:rsid w:val="7AA96446"/>
    <w:rsid w:val="7B095625"/>
    <w:rsid w:val="7B390A72"/>
    <w:rsid w:val="7B7B384D"/>
    <w:rsid w:val="7BA44977"/>
    <w:rsid w:val="7C6018CD"/>
    <w:rsid w:val="7C907B6C"/>
    <w:rsid w:val="7CA2186F"/>
    <w:rsid w:val="7D8A3FB2"/>
    <w:rsid w:val="7DF01A9A"/>
    <w:rsid w:val="7DF3C2CE"/>
    <w:rsid w:val="7E100BD1"/>
    <w:rsid w:val="7F6645BA"/>
    <w:rsid w:val="7FFC5801"/>
    <w:rsid w:val="9ADB649F"/>
    <w:rsid w:val="9F565DFC"/>
    <w:rsid w:val="D3DEAD35"/>
    <w:rsid w:val="EBBFB017"/>
    <w:rsid w:val="EFFBC4AA"/>
    <w:rsid w:val="F3FC03C6"/>
    <w:rsid w:val="FCBA6BFD"/>
    <w:rsid w:val="FCFF24FE"/>
    <w:rsid w:val="FF7668F1"/>
    <w:rsid w:val="FF7B7689"/>
    <w:rsid w:val="FF8FA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line="640" w:lineRule="exact"/>
      <w:jc w:val="center"/>
      <w:outlineLvl w:val="0"/>
    </w:pPr>
    <w:rPr>
      <w:rFonts w:ascii="Calibri" w:hAnsi="Calibri" w:eastAsia="华康简标题宋"/>
      <w:kern w:val="44"/>
      <w:sz w:val="44"/>
    </w:rPr>
  </w:style>
  <w:style w:type="paragraph" w:styleId="4">
    <w:name w:val="heading 2"/>
    <w:basedOn w:val="1"/>
    <w:next w:val="1"/>
    <w:qFormat/>
    <w:uiPriority w:val="0"/>
    <w:pPr>
      <w:keepNext/>
      <w:keepLines/>
      <w:spacing w:before="260" w:after="260" w:line="416" w:lineRule="atLeast"/>
      <w:outlineLvl w:val="1"/>
    </w:pPr>
    <w:rPr>
      <w:rFonts w:ascii="Arial" w:hAnsi="Arial" w:eastAsia="黑体"/>
      <w:b/>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auto"/>
    </w:pPr>
    <w:rPr>
      <w:rFonts w:eastAsia="宋体"/>
      <w:sz w:val="30"/>
      <w:szCs w:val="24"/>
    </w:rPr>
  </w:style>
  <w:style w:type="paragraph" w:styleId="5">
    <w:name w:val="Normal Indent"/>
    <w:basedOn w:val="1"/>
    <w:qFormat/>
    <w:uiPriority w:val="0"/>
    <w:pPr>
      <w:spacing w:line="240" w:lineRule="auto"/>
      <w:ind w:firstLine="420" w:firstLineChars="200"/>
    </w:pPr>
    <w:rPr>
      <w:rFonts w:eastAsia="宋体"/>
      <w:kern w:val="10"/>
      <w:sz w:val="21"/>
    </w:r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Body Text 3"/>
    <w:basedOn w:val="1"/>
    <w:qFormat/>
    <w:uiPriority w:val="0"/>
    <w:pPr>
      <w:jc w:val="left"/>
    </w:pPr>
    <w:rPr>
      <w:rFonts w:ascii="仿宋_GB2312"/>
      <w:color w:val="000000"/>
      <w:sz w:val="28"/>
    </w:rPr>
  </w:style>
  <w:style w:type="paragraph" w:styleId="9">
    <w:name w:val="Body Text Indent"/>
    <w:basedOn w:val="1"/>
    <w:next w:val="10"/>
    <w:link w:val="28"/>
    <w:qFormat/>
    <w:uiPriority w:val="0"/>
    <w:pPr>
      <w:spacing w:line="240" w:lineRule="auto"/>
      <w:ind w:firstLine="645"/>
    </w:pPr>
    <w:rPr>
      <w:rFonts w:ascii="仿宋_GB2312"/>
      <w:b/>
    </w:rPr>
  </w:style>
  <w:style w:type="paragraph" w:styleId="10">
    <w:name w:val="footer"/>
    <w:basedOn w:val="1"/>
    <w:next w:val="9"/>
    <w:qFormat/>
    <w:uiPriority w:val="0"/>
    <w:pPr>
      <w:tabs>
        <w:tab w:val="center" w:pos="4153"/>
        <w:tab w:val="right" w:pos="8306"/>
      </w:tabs>
      <w:snapToGrid w:val="0"/>
      <w:spacing w:line="240" w:lineRule="atLeast"/>
      <w:jc w:val="left"/>
    </w:pPr>
    <w:rPr>
      <w:sz w:val="18"/>
    </w:rPr>
  </w:style>
  <w:style w:type="paragraph" w:styleId="11">
    <w:name w:val="Plain Text"/>
    <w:basedOn w:val="1"/>
    <w:qFormat/>
    <w:uiPriority w:val="0"/>
    <w:pPr>
      <w:spacing w:line="240" w:lineRule="auto"/>
    </w:pPr>
    <w:rPr>
      <w:rFonts w:ascii="宋体" w:hAnsi="Courier New" w:eastAsia="宋体" w:cs="Courier New"/>
      <w:sz w:val="21"/>
      <w:szCs w:val="21"/>
    </w:rPr>
  </w:style>
  <w:style w:type="paragraph" w:styleId="12">
    <w:name w:val="Date"/>
    <w:basedOn w:val="1"/>
    <w:next w:val="1"/>
    <w:qFormat/>
    <w:uiPriority w:val="0"/>
    <w:pPr>
      <w:spacing w:line="240" w:lineRule="auto"/>
      <w:ind w:left="100" w:leftChars="2500"/>
    </w:pPr>
    <w:rPr>
      <w:rFonts w:ascii="仿宋_GB2312"/>
      <w:sz w:val="30"/>
      <w:szCs w:val="24"/>
    </w:rPr>
  </w:style>
  <w:style w:type="paragraph" w:styleId="13">
    <w:name w:val="Body Text Indent 2"/>
    <w:basedOn w:val="1"/>
    <w:qFormat/>
    <w:uiPriority w:val="0"/>
    <w:pPr>
      <w:spacing w:line="240" w:lineRule="auto"/>
      <w:ind w:right="384" w:rightChars="183" w:firstLine="637" w:firstLineChars="199"/>
    </w:pPr>
    <w:rPr>
      <w:szCs w:val="24"/>
    </w:rPr>
  </w:style>
  <w:style w:type="paragraph" w:styleId="14">
    <w:name w:val="Balloon Text"/>
    <w:basedOn w:val="1"/>
    <w:semiHidden/>
    <w:qFormat/>
    <w:uiPriority w:val="0"/>
    <w:pPr>
      <w:spacing w:line="240" w:lineRule="auto"/>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6">
    <w:name w:val="Body Text Indent 3"/>
    <w:basedOn w:val="1"/>
    <w:qFormat/>
    <w:uiPriority w:val="0"/>
    <w:pPr>
      <w:spacing w:line="240" w:lineRule="auto"/>
      <w:ind w:firstLine="480" w:firstLineChars="200"/>
    </w:pPr>
    <w:rPr>
      <w:rFonts w:eastAsia="宋体"/>
      <w:sz w:val="24"/>
    </w:rPr>
  </w:style>
  <w:style w:type="paragraph" w:styleId="17">
    <w:name w:val="Body Text 2"/>
    <w:basedOn w:val="1"/>
    <w:qFormat/>
    <w:uiPriority w:val="0"/>
    <w:pPr>
      <w:jc w:val="center"/>
    </w:pPr>
    <w:rPr>
      <w:rFonts w:ascii="华康简标题宋" w:eastAsia="华康简标题宋"/>
      <w:sz w:val="4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黑体" w:hAnsi="Courier New" w:eastAsia="黑体" w:cs="Courier New"/>
      <w:kern w:val="0"/>
      <w:sz w:val="20"/>
    </w:rPr>
  </w:style>
  <w:style w:type="paragraph" w:styleId="19">
    <w:name w:val="Normal (Web)"/>
    <w:basedOn w:val="1"/>
    <w:qFormat/>
    <w:uiPriority w:val="0"/>
    <w:pPr>
      <w:widowControl/>
      <w:spacing w:before="100" w:beforeAutospacing="1" w:after="100" w:afterAutospacing="1" w:line="240" w:lineRule="auto"/>
      <w:jc w:val="left"/>
    </w:pPr>
    <w:rPr>
      <w:rFonts w:ascii="宋体" w:hAnsi="宋体" w:eastAsia="宋体"/>
      <w:kern w:val="0"/>
      <w:sz w:val="24"/>
      <w:szCs w:val="24"/>
    </w:rPr>
  </w:style>
  <w:style w:type="paragraph" w:styleId="20">
    <w:name w:val="Body Text First Indent"/>
    <w:qFormat/>
    <w:uiPriority w:val="0"/>
    <w:pPr>
      <w:widowControl w:val="0"/>
      <w:spacing w:after="120"/>
      <w:ind w:firstLine="420" w:firstLineChars="100"/>
      <w:jc w:val="both"/>
    </w:pPr>
    <w:rPr>
      <w:rFonts w:ascii="Calibri" w:hAnsi="Calibri" w:eastAsia="宋体" w:cs="Times New Roman"/>
      <w:kern w:val="2"/>
      <w:sz w:val="32"/>
      <w:lang w:val="en-US" w:eastAsia="zh-CN" w:bidi="ar-SA"/>
    </w:rPr>
  </w:style>
  <w:style w:type="paragraph" w:styleId="21">
    <w:name w:val="Body Text First Indent 2"/>
    <w:qFormat/>
    <w:uiPriority w:val="0"/>
    <w:pPr>
      <w:widowControl w:val="0"/>
      <w:spacing w:after="120"/>
      <w:ind w:left="420" w:leftChars="200" w:firstLine="420" w:firstLineChars="200"/>
      <w:jc w:val="both"/>
    </w:pPr>
    <w:rPr>
      <w:rFonts w:ascii="Calibri" w:hAnsi="Calibri" w:eastAsia="宋体" w:cs="黑体"/>
      <w:kern w:val="2"/>
      <w:sz w:val="21"/>
      <w:szCs w:val="22"/>
      <w:lang w:val="en-US" w:eastAsia="zh-CN" w:bidi="ar-SA"/>
    </w:rPr>
  </w:style>
  <w:style w:type="table" w:styleId="23">
    <w:name w:val="Table Grid"/>
    <w:basedOn w:val="2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customStyle="1" w:styleId="28">
    <w:name w:val="正文文本缩进 Char"/>
    <w:basedOn w:val="24"/>
    <w:link w:val="9"/>
    <w:qFormat/>
    <w:uiPriority w:val="0"/>
    <w:rPr>
      <w:rFonts w:ascii="仿宋_GB2312" w:eastAsia="仿宋_GB2312"/>
      <w:b/>
      <w:kern w:val="2"/>
      <w:sz w:val="32"/>
      <w:lang w:val="en-US" w:eastAsia="zh-CN" w:bidi="ar-SA"/>
    </w:rPr>
  </w:style>
  <w:style w:type="character" w:customStyle="1" w:styleId="29">
    <w:name w:val="zt5"/>
    <w:basedOn w:val="24"/>
    <w:qFormat/>
    <w:uiPriority w:val="0"/>
  </w:style>
  <w:style w:type="character" w:customStyle="1" w:styleId="30">
    <w:name w:val="NormalCharacter"/>
    <w:qFormat/>
    <w:uiPriority w:val="0"/>
    <w:rPr>
      <w:rFonts w:ascii="Calibri" w:hAnsi="Calibri" w:eastAsia="宋体" w:cs="Times New Roman"/>
    </w:rPr>
  </w:style>
  <w:style w:type="paragraph" w:customStyle="1" w:styleId="31">
    <w:name w:val="char"/>
    <w:basedOn w:val="1"/>
    <w:qFormat/>
    <w:uiPriority w:val="0"/>
    <w:pPr>
      <w:widowControl/>
      <w:spacing w:after="160" w:line="240" w:lineRule="exact"/>
      <w:jc w:val="left"/>
    </w:pPr>
    <w:rPr>
      <w:rFonts w:ascii="Verdana" w:hAnsi="Verdana" w:cs="”“Times New Roman”“"/>
      <w:kern w:val="0"/>
      <w:sz w:val="24"/>
      <w:lang w:eastAsia="en-US"/>
    </w:rPr>
  </w:style>
  <w:style w:type="paragraph" w:customStyle="1" w:styleId="32">
    <w:name w:val="Char Char Char Char"/>
    <w:basedOn w:val="1"/>
    <w:qFormat/>
    <w:uiPriority w:val="0"/>
    <w:pPr>
      <w:widowControl/>
      <w:spacing w:after="160" w:line="240" w:lineRule="exact"/>
      <w:jc w:val="left"/>
    </w:pPr>
    <w:rPr>
      <w:rFonts w:ascii="Verdana" w:hAnsi="Verdana"/>
      <w:kern w:val="0"/>
      <w:sz w:val="24"/>
      <w:lang w:eastAsia="en-US"/>
    </w:rPr>
  </w:style>
  <w:style w:type="paragraph" w:customStyle="1" w:styleId="33">
    <w:name w:val="第二层"/>
    <w:basedOn w:val="1"/>
    <w:qFormat/>
    <w:uiPriority w:val="0"/>
    <w:pPr>
      <w:spacing w:line="240" w:lineRule="auto"/>
    </w:pPr>
    <w:rPr>
      <w:rFonts w:ascii="宋体" w:hAnsi="宋体" w:eastAsia="黑体" w:cs="宋体"/>
      <w:sz w:val="28"/>
      <w:szCs w:val="28"/>
    </w:rPr>
  </w:style>
  <w:style w:type="paragraph" w:customStyle="1" w:styleId="34">
    <w:name w:val="xl24"/>
    <w:basedOn w:val="1"/>
    <w:qFormat/>
    <w:uiPriority w:val="0"/>
    <w:pPr>
      <w:widowControl/>
      <w:spacing w:before="100" w:beforeAutospacing="1" w:after="100" w:afterAutospacing="1" w:line="240" w:lineRule="auto"/>
      <w:jc w:val="center"/>
      <w:textAlignment w:val="center"/>
    </w:pPr>
    <w:rPr>
      <w:rFonts w:hint="eastAsia" w:ascii="仿宋_GB2312" w:hAnsi="宋体"/>
      <w:kern w:val="0"/>
      <w:sz w:val="40"/>
      <w:szCs w:val="40"/>
    </w:rPr>
  </w:style>
  <w:style w:type="paragraph" w:customStyle="1" w:styleId="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eastAsia" w:ascii="仿宋_GB2312" w:hAnsi="宋体"/>
      <w:kern w:val="0"/>
      <w:sz w:val="24"/>
      <w:szCs w:val="24"/>
    </w:rPr>
  </w:style>
  <w:style w:type="paragraph" w:customStyle="1" w:styleId="36">
    <w:name w:val="xl42"/>
    <w:basedOn w:val="1"/>
    <w:qFormat/>
    <w:uiPriority w:val="0"/>
    <w:pPr>
      <w:widowControl/>
      <w:pBdr>
        <w:bottom w:val="single" w:color="auto" w:sz="4" w:space="0"/>
      </w:pBdr>
      <w:spacing w:before="100" w:beforeAutospacing="1" w:after="100" w:afterAutospacing="1" w:line="240" w:lineRule="auto"/>
      <w:jc w:val="left"/>
    </w:pPr>
    <w:rPr>
      <w:rFonts w:hint="eastAsia" w:ascii="仿宋_GB2312" w:hAnsi="宋体"/>
      <w:kern w:val="0"/>
      <w:sz w:val="22"/>
      <w:szCs w:val="22"/>
    </w:rPr>
  </w:style>
  <w:style w:type="paragraph" w:customStyle="1" w:styleId="37">
    <w:name w:val="Char Char Char Char1"/>
    <w:basedOn w:val="1"/>
    <w:qFormat/>
    <w:uiPriority w:val="0"/>
    <w:pPr>
      <w:widowControl/>
      <w:spacing w:after="160" w:line="240" w:lineRule="exact"/>
      <w:jc w:val="left"/>
    </w:pPr>
    <w:rPr>
      <w:rFonts w:ascii="Verdana" w:hAnsi="Verdana"/>
      <w:kern w:val="0"/>
      <w:sz w:val="24"/>
      <w:lang w:eastAsia="en-US"/>
    </w:rPr>
  </w:style>
  <w:style w:type="paragraph" w:customStyle="1" w:styleId="38">
    <w:name w:val="xl34"/>
    <w:basedOn w:val="1"/>
    <w:qFormat/>
    <w:uiPriority w:val="0"/>
    <w:pPr>
      <w:widowControl/>
      <w:spacing w:before="100" w:beforeAutospacing="1" w:after="100" w:afterAutospacing="1" w:line="240" w:lineRule="auto"/>
      <w:jc w:val="left"/>
      <w:textAlignment w:val="center"/>
    </w:pPr>
    <w:rPr>
      <w:rFonts w:eastAsia="宋体"/>
      <w:kern w:val="0"/>
      <w:sz w:val="22"/>
      <w:szCs w:val="22"/>
    </w:rPr>
  </w:style>
  <w:style w:type="paragraph" w:customStyle="1" w:styleId="39">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40">
    <w:name w:val="Char1 Char Char Char"/>
    <w:basedOn w:val="1"/>
    <w:qFormat/>
    <w:uiPriority w:val="0"/>
    <w:rPr>
      <w:sz w:val="30"/>
      <w:szCs w:val="24"/>
    </w:rPr>
  </w:style>
  <w:style w:type="paragraph" w:customStyle="1" w:styleId="41">
    <w:name w:val="Char1 Char Char Char Char Char Char"/>
    <w:basedOn w:val="1"/>
    <w:qFormat/>
    <w:uiPriority w:val="0"/>
    <w:pPr>
      <w:spacing w:line="240" w:lineRule="auto"/>
    </w:pPr>
    <w:rPr>
      <w:rFonts w:ascii="Tahoma" w:hAnsi="Tahoma" w:eastAsia="宋体"/>
      <w:sz w:val="24"/>
    </w:rPr>
  </w:style>
  <w:style w:type="paragraph" w:customStyle="1" w:styleId="42">
    <w:name w:val="xl33"/>
    <w:basedOn w:val="1"/>
    <w:qFormat/>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43">
    <w:name w:val="列出段落1"/>
    <w:basedOn w:val="1"/>
    <w:qFormat/>
    <w:uiPriority w:val="34"/>
    <w:pPr>
      <w:ind w:firstLine="420" w:firstLineChars="200"/>
    </w:pPr>
    <w:rPr>
      <w:rFonts w:ascii="Calibri" w:hAnsi="Calibri"/>
    </w:rPr>
  </w:style>
  <w:style w:type="paragraph" w:customStyle="1" w:styleId="44">
    <w:name w:val="xl39"/>
    <w:basedOn w:val="1"/>
    <w:qFormat/>
    <w:uiPriority w:val="0"/>
    <w:pPr>
      <w:widowControl/>
      <w:spacing w:before="100" w:beforeAutospacing="1" w:after="100" w:afterAutospacing="1" w:line="240" w:lineRule="auto"/>
      <w:jc w:val="left"/>
      <w:textAlignment w:val="center"/>
    </w:pPr>
    <w:rPr>
      <w:rFonts w:hint="eastAsia" w:ascii="仿宋_GB2312" w:hAnsi="宋体"/>
      <w:b/>
      <w:bCs/>
      <w:kern w:val="0"/>
      <w:sz w:val="40"/>
      <w:szCs w:val="40"/>
    </w:rPr>
  </w:style>
  <w:style w:type="paragraph" w:customStyle="1" w:styleId="45">
    <w:name w:val="xl35"/>
    <w:basedOn w:val="1"/>
    <w:qFormat/>
    <w:uiPriority w:val="0"/>
    <w:pPr>
      <w:widowControl/>
      <w:spacing w:before="100" w:beforeAutospacing="1" w:after="100" w:afterAutospacing="1" w:line="240" w:lineRule="auto"/>
      <w:jc w:val="left"/>
      <w:textAlignment w:val="center"/>
    </w:pPr>
    <w:rPr>
      <w:rFonts w:ascii="宋体" w:hAnsi="宋体" w:eastAsia="宋体"/>
      <w:kern w:val="0"/>
      <w:sz w:val="22"/>
      <w:szCs w:val="22"/>
    </w:rPr>
  </w:style>
  <w:style w:type="paragraph" w:customStyle="1" w:styleId="46">
    <w:name w:val="p0"/>
    <w:basedOn w:val="1"/>
    <w:qFormat/>
    <w:uiPriority w:val="0"/>
    <w:pPr>
      <w:widowControl/>
      <w:spacing w:line="580" w:lineRule="atLeast"/>
    </w:pPr>
    <w:rPr>
      <w:rFonts w:eastAsia="宋体"/>
      <w:kern w:val="0"/>
      <w:szCs w:val="32"/>
    </w:rPr>
  </w:style>
  <w:style w:type="paragraph" w:customStyle="1" w:styleId="47">
    <w:name w:val="xl31"/>
    <w:basedOn w:val="1"/>
    <w:qFormat/>
    <w:uiPriority w:val="0"/>
    <w:pPr>
      <w:widowControl/>
      <w:pBdr>
        <w:top w:val="single" w:color="auto" w:sz="4" w:space="0"/>
      </w:pBdr>
      <w:spacing w:before="100" w:beforeAutospacing="1" w:after="100" w:afterAutospacing="1" w:line="240" w:lineRule="auto"/>
      <w:jc w:val="left"/>
    </w:pPr>
    <w:rPr>
      <w:rFonts w:hint="eastAsia" w:ascii="仿宋_GB2312" w:hAnsi="宋体"/>
      <w:kern w:val="0"/>
      <w:sz w:val="24"/>
      <w:szCs w:val="24"/>
    </w:rPr>
  </w:style>
  <w:style w:type="paragraph" w:customStyle="1" w:styleId="48">
    <w:name w:val="font7"/>
    <w:basedOn w:val="1"/>
    <w:qFormat/>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49">
    <w:name w:val="xl4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50">
    <w:name w:val="Char"/>
    <w:basedOn w:val="6"/>
    <w:qFormat/>
    <w:uiPriority w:val="0"/>
    <w:pPr>
      <w:spacing w:line="240" w:lineRule="auto"/>
    </w:pPr>
    <w:rPr>
      <w:rFonts w:ascii="Tahoma" w:hAnsi="Tahoma" w:eastAsia="宋体"/>
      <w:sz w:val="24"/>
      <w:szCs w:val="24"/>
    </w:rPr>
  </w:style>
  <w:style w:type="paragraph" w:customStyle="1" w:styleId="51">
    <w:name w:val="xl37"/>
    <w:basedOn w:val="1"/>
    <w:qFormat/>
    <w:uiPriority w:val="0"/>
    <w:pPr>
      <w:widowControl/>
      <w:spacing w:before="100" w:beforeAutospacing="1" w:after="100" w:afterAutospacing="1" w:line="240" w:lineRule="auto"/>
      <w:jc w:val="left"/>
      <w:textAlignment w:val="center"/>
    </w:pPr>
    <w:rPr>
      <w:rFonts w:hint="eastAsia" w:ascii="仿宋_GB2312" w:hAnsi="宋体"/>
      <w:kern w:val="0"/>
      <w:sz w:val="22"/>
      <w:szCs w:val="22"/>
    </w:rPr>
  </w:style>
  <w:style w:type="paragraph" w:customStyle="1" w:styleId="5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53">
    <w:name w:val="xl29"/>
    <w:basedOn w:val="1"/>
    <w:qFormat/>
    <w:uiPriority w:val="0"/>
    <w:pPr>
      <w:widowControl/>
      <w:spacing w:before="100" w:beforeAutospacing="1" w:after="100" w:afterAutospacing="1" w:line="240" w:lineRule="auto"/>
      <w:jc w:val="left"/>
    </w:pPr>
    <w:rPr>
      <w:rFonts w:hint="eastAsia" w:ascii="仿宋_GB2312" w:hAnsi="宋体"/>
      <w:kern w:val="0"/>
      <w:sz w:val="24"/>
      <w:szCs w:val="24"/>
    </w:rPr>
  </w:style>
  <w:style w:type="paragraph" w:customStyle="1" w:styleId="54">
    <w:name w:val="xl36"/>
    <w:basedOn w:val="1"/>
    <w:qFormat/>
    <w:uiPriority w:val="0"/>
    <w:pPr>
      <w:widowControl/>
      <w:spacing w:before="100" w:beforeAutospacing="1" w:after="100" w:afterAutospacing="1" w:line="240" w:lineRule="auto"/>
      <w:jc w:val="left"/>
    </w:pPr>
    <w:rPr>
      <w:rFonts w:ascii="宋体" w:hAnsi="宋体" w:eastAsia="宋体"/>
      <w:kern w:val="0"/>
      <w:sz w:val="24"/>
      <w:szCs w:val="24"/>
    </w:rPr>
  </w:style>
  <w:style w:type="paragraph" w:customStyle="1" w:styleId="55">
    <w:name w:val="xl32"/>
    <w:basedOn w:val="1"/>
    <w:qFormat/>
    <w:uiPriority w:val="0"/>
    <w:pPr>
      <w:widowControl/>
      <w:spacing w:before="100" w:beforeAutospacing="1" w:after="100" w:afterAutospacing="1" w:line="240" w:lineRule="auto"/>
      <w:jc w:val="left"/>
      <w:textAlignment w:val="top"/>
    </w:pPr>
    <w:rPr>
      <w:rFonts w:hint="eastAsia" w:ascii="仿宋_GB2312" w:hAnsi="宋体"/>
      <w:kern w:val="0"/>
      <w:sz w:val="22"/>
      <w:szCs w:val="22"/>
    </w:rPr>
  </w:style>
  <w:style w:type="paragraph" w:customStyle="1" w:styleId="56">
    <w:name w:val="xl38"/>
    <w:basedOn w:val="1"/>
    <w:qFormat/>
    <w:uiPriority w:val="0"/>
    <w:pPr>
      <w:widowControl/>
      <w:spacing w:before="100" w:beforeAutospacing="1" w:after="100" w:afterAutospacing="1" w:line="240" w:lineRule="auto"/>
      <w:jc w:val="center"/>
      <w:textAlignment w:val="center"/>
    </w:pPr>
    <w:rPr>
      <w:rFonts w:hint="eastAsia" w:ascii="仿宋_GB2312" w:hAnsi="宋体"/>
      <w:b/>
      <w:bCs/>
      <w:kern w:val="0"/>
      <w:sz w:val="40"/>
      <w:szCs w:val="40"/>
    </w:rPr>
  </w:style>
  <w:style w:type="paragraph" w:customStyle="1" w:styleId="57">
    <w:name w:val="样式 (中文) 楷体_GB2312 小三 首行缩进:  0.79 厘米 行距: 固定值 28 磅"/>
    <w:basedOn w:val="1"/>
    <w:qFormat/>
    <w:uiPriority w:val="0"/>
    <w:pPr>
      <w:spacing w:line="560" w:lineRule="exact"/>
      <w:ind w:firstLine="450"/>
    </w:pPr>
    <w:rPr>
      <w:rFonts w:eastAsia="楷体_GB2312"/>
    </w:rPr>
  </w:style>
  <w:style w:type="paragraph" w:customStyle="1" w:styleId="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hint="eastAsia" w:ascii="仿宋_GB2312" w:hAnsi="宋体"/>
      <w:kern w:val="0"/>
      <w:sz w:val="24"/>
      <w:szCs w:val="24"/>
    </w:rPr>
  </w:style>
  <w:style w:type="paragraph" w:customStyle="1" w:styleId="59">
    <w:name w:val="xl26"/>
    <w:basedOn w:val="1"/>
    <w:qFormat/>
    <w:uiPriority w:val="0"/>
    <w:pPr>
      <w:widowControl/>
      <w:spacing w:before="100" w:beforeAutospacing="1" w:after="100" w:afterAutospacing="1" w:line="240" w:lineRule="auto"/>
      <w:jc w:val="left"/>
      <w:textAlignment w:val="center"/>
    </w:pPr>
    <w:rPr>
      <w:rFonts w:hint="eastAsia" w:ascii="仿宋_GB2312" w:hAnsi="宋体"/>
      <w:kern w:val="0"/>
      <w:sz w:val="40"/>
      <w:szCs w:val="40"/>
    </w:rPr>
  </w:style>
  <w:style w:type="paragraph" w:customStyle="1" w:styleId="60">
    <w:name w:val="font6"/>
    <w:basedOn w:val="1"/>
    <w:qFormat/>
    <w:uiPriority w:val="0"/>
    <w:pPr>
      <w:widowControl/>
      <w:spacing w:before="100" w:beforeAutospacing="1" w:after="100" w:afterAutospacing="1" w:line="240" w:lineRule="auto"/>
      <w:jc w:val="left"/>
    </w:pPr>
    <w:rPr>
      <w:rFonts w:eastAsia="宋体"/>
      <w:kern w:val="0"/>
      <w:sz w:val="22"/>
      <w:szCs w:val="22"/>
    </w:rPr>
  </w:style>
  <w:style w:type="paragraph" w:customStyle="1" w:styleId="61">
    <w:name w:val="xl25"/>
    <w:basedOn w:val="1"/>
    <w:qFormat/>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62">
    <w:name w:val="Char1"/>
    <w:basedOn w:val="6"/>
    <w:qFormat/>
    <w:uiPriority w:val="0"/>
    <w:pPr>
      <w:spacing w:line="240" w:lineRule="auto"/>
    </w:pPr>
    <w:rPr>
      <w:rFonts w:ascii="Tahoma" w:hAnsi="Tahoma" w:eastAsia="宋体"/>
      <w:sz w:val="24"/>
      <w:szCs w:val="24"/>
    </w:rPr>
  </w:style>
  <w:style w:type="paragraph" w:customStyle="1" w:styleId="63">
    <w:name w:val="font5"/>
    <w:basedOn w:val="1"/>
    <w:qFormat/>
    <w:uiPriority w:val="0"/>
    <w:pPr>
      <w:widowControl/>
      <w:spacing w:before="100" w:beforeAutospacing="1" w:after="100" w:afterAutospacing="1" w:line="240" w:lineRule="auto"/>
      <w:jc w:val="left"/>
    </w:pPr>
    <w:rPr>
      <w:rFonts w:hint="eastAsia" w:ascii="宋体" w:hAnsi="宋体" w:eastAsia="宋体"/>
      <w:kern w:val="0"/>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503</Words>
  <Characters>2869</Characters>
  <Lines>23</Lines>
  <Paragraphs>6</Paragraphs>
  <TotalTime>2</TotalTime>
  <ScaleCrop>false</ScaleCrop>
  <LinksUpToDate>false</LinksUpToDate>
  <CharactersWithSpaces>3366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2022-08-24T11:33:00Z</dcterms:created>
  <dc:creator>THINK</dc:creator>
  <cp:lastModifiedBy>thtf</cp:lastModifiedBy>
  <cp:lastPrinted>2021-02-12T00:11:00Z</cp:lastPrinted>
  <dcterms:modified xsi:type="dcterms:W3CDTF">2022-08-26T12:45:05Z</dcterms:modified>
  <dc:title>附件6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F22AB97A91444AE8B8CFF4D2C20C6A02</vt:lpwstr>
  </property>
</Properties>
</file>